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hint="eastAsia" w:ascii="宋体" w:hAnsi="宋体" w:eastAsia="宋体" w:cs="宋体"/>
          <w:b/>
          <w:bCs/>
          <w:color w:val="000000" w:themeColor="text1"/>
          <w:sz w:val="84"/>
          <w:szCs w:val="84"/>
          <w14:textFill>
            <w14:solidFill>
              <w14:schemeClr w14:val="tx1"/>
            </w14:solidFill>
          </w14:textFill>
        </w:rPr>
      </w:pPr>
      <w:r>
        <w:rPr>
          <w:rFonts w:hint="eastAsia" w:asciiTheme="minorEastAsia" w:hAnsiTheme="minorEastAsia"/>
          <w:b/>
          <w:color w:val="000000" w:themeColor="text1"/>
          <w:sz w:val="84"/>
          <w:szCs w:val="84"/>
          <w14:textFill>
            <w14:solidFill>
              <w14:schemeClr w14:val="tx1"/>
            </w14:solidFill>
          </w14:textFill>
        </w:rPr>
        <w:t>零散采购</w:t>
      </w:r>
      <w:r>
        <w:rPr>
          <w:rFonts w:hint="eastAsia" w:ascii="宋体" w:hAnsi="宋体"/>
          <w:b/>
          <w:color w:val="000000" w:themeColor="text1"/>
          <w:sz w:val="84"/>
          <w:szCs w:val="84"/>
          <w14:textFill>
            <w14:solidFill>
              <w14:schemeClr w14:val="tx1"/>
            </w14:solidFill>
          </w14:textFill>
        </w:rPr>
        <w:t>文件</w:t>
      </w:r>
    </w:p>
    <w:p>
      <w:pPr>
        <w:spacing w:line="360" w:lineRule="auto"/>
        <w:jc w:val="center"/>
        <w:rPr>
          <w:rFonts w:hint="eastAsia" w:ascii="宋体" w:hAnsi="宋体" w:eastAsia="宋体" w:cs="宋体"/>
          <w:color w:val="000000" w:themeColor="text1"/>
          <w:sz w:val="30"/>
          <w:szCs w:val="30"/>
          <w14:textFill>
            <w14:solidFill>
              <w14:schemeClr w14:val="tx1"/>
            </w14:solidFill>
          </w14:textFill>
        </w:rPr>
      </w:pPr>
    </w:p>
    <w:p>
      <w:pPr>
        <w:spacing w:line="360" w:lineRule="auto"/>
        <w:jc w:val="center"/>
        <w:rPr>
          <w:rFonts w:hint="eastAsia" w:ascii="宋体" w:hAnsi="宋体" w:eastAsia="宋体" w:cs="宋体"/>
          <w:color w:val="000000" w:themeColor="text1"/>
          <w:sz w:val="30"/>
          <w:szCs w:val="30"/>
          <w14:textFill>
            <w14:solidFill>
              <w14:schemeClr w14:val="tx1"/>
            </w14:solidFill>
          </w14:textFill>
        </w:rPr>
      </w:pPr>
    </w:p>
    <w:p>
      <w:pPr>
        <w:spacing w:line="360" w:lineRule="auto"/>
        <w:jc w:val="center"/>
        <w:rPr>
          <w:rFonts w:hint="eastAsia" w:ascii="宋体" w:hAnsi="宋体" w:eastAsia="宋体" w:cs="宋体"/>
          <w:color w:val="000000" w:themeColor="text1"/>
          <w:sz w:val="30"/>
          <w:szCs w:val="30"/>
          <w14:textFill>
            <w14:solidFill>
              <w14:schemeClr w14:val="tx1"/>
            </w14:solidFill>
          </w14:textFill>
        </w:rPr>
      </w:pPr>
    </w:p>
    <w:p>
      <w:pPr>
        <w:spacing w:line="360" w:lineRule="auto"/>
        <w:jc w:val="left"/>
        <w:rPr>
          <w:rFonts w:hint="eastAsia"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pPr>
        <w:spacing w:line="360" w:lineRule="auto"/>
        <w:jc w:val="left"/>
        <w:rPr>
          <w:rFonts w:hint="default" w:ascii="宋体" w:hAnsi="宋体" w:eastAsia="宋体" w:cs="宋体"/>
          <w:b/>
          <w:bCs/>
          <w:color w:val="000000" w:themeColor="text1"/>
          <w:sz w:val="28"/>
          <w:szCs w:val="32"/>
          <w:lang w:val="en-US" w:eastAsia="zh-CN"/>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项目名称：广东省广裕集团清远滨江实业有限公司部分厂房负压风机采购及安装承揽项目</w:t>
      </w:r>
      <w:r>
        <w:rPr>
          <w:rFonts w:hint="eastAsia" w:ascii="宋体" w:hAnsi="宋体" w:eastAsia="宋体" w:cs="宋体"/>
          <w:b/>
          <w:bCs/>
          <w:color w:val="000000" w:themeColor="text1"/>
          <w:sz w:val="28"/>
          <w:szCs w:val="32"/>
          <w:lang w:eastAsia="zh-CN"/>
          <w14:textFill>
            <w14:solidFill>
              <w14:schemeClr w14:val="tx1"/>
            </w14:solidFill>
          </w14:textFill>
        </w:rPr>
        <w:t>（</w:t>
      </w:r>
      <w:r>
        <w:rPr>
          <w:rFonts w:hint="eastAsia" w:ascii="宋体" w:hAnsi="宋体" w:eastAsia="宋体" w:cs="宋体"/>
          <w:b/>
          <w:bCs/>
          <w:color w:val="000000" w:themeColor="text1"/>
          <w:sz w:val="28"/>
          <w:szCs w:val="32"/>
          <w:lang w:val="en-US" w:eastAsia="zh-CN"/>
          <w14:textFill>
            <w14:solidFill>
              <w14:schemeClr w14:val="tx1"/>
            </w14:solidFill>
          </w14:textFill>
        </w:rPr>
        <w:t>第二次）</w:t>
      </w:r>
    </w:p>
    <w:p>
      <w:pPr>
        <w:snapToGrid w:val="0"/>
        <w:spacing w:before="156" w:beforeLines="50" w:after="156" w:afterLines="50" w:line="360" w:lineRule="auto"/>
        <w:jc w:val="center"/>
        <w:rPr>
          <w:rFonts w:hint="eastAsia" w:ascii="宋体" w:hAnsi="宋体" w:eastAsia="宋体" w:cs="宋体"/>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hint="eastAsia"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hint="eastAsia"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line="360" w:lineRule="auto"/>
        <w:jc w:val="center"/>
        <w:rPr>
          <w:rFonts w:hint="eastAsia"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广东省广裕集团清远滨江实业有限公司</w:t>
      </w:r>
    </w:p>
    <w:p>
      <w:pPr>
        <w:autoSpaceDE w:val="0"/>
        <w:autoSpaceDN w:val="0"/>
        <w:adjustRightInd w:val="0"/>
        <w:snapToGrid w:val="0"/>
        <w:spacing w:line="360" w:lineRule="auto"/>
        <w:jc w:val="center"/>
        <w:rPr>
          <w:rFonts w:hint="eastAsia"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采联国际招标采购集团有限公司</w:t>
      </w:r>
    </w:p>
    <w:p>
      <w:pPr>
        <w:autoSpaceDE w:val="0"/>
        <w:autoSpaceDN w:val="0"/>
        <w:adjustRightInd w:val="0"/>
        <w:snapToGrid w:val="0"/>
        <w:spacing w:line="360" w:lineRule="auto"/>
        <w:jc w:val="center"/>
        <w:rPr>
          <w:rFonts w:hint="eastAsia"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二〇二五年四月</w:t>
      </w:r>
    </w:p>
    <w:p>
      <w:pPr>
        <w:widowControl/>
        <w:jc w:val="left"/>
        <w:rPr>
          <w:rFonts w:hint="eastAsia"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pPr>
        <w:pStyle w:val="22"/>
        <w:spacing w:before="0" w:after="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零散采购须知</w:t>
      </w:r>
    </w:p>
    <w:p>
      <w:pPr>
        <w:pStyle w:val="66"/>
        <w:numPr>
          <w:ilvl w:val="0"/>
          <w:numId w:val="2"/>
        </w:numPr>
        <w:spacing w:after="0" w:line="360" w:lineRule="auto"/>
        <w:ind w:firstLineChars="0"/>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本项目通过云采链线上采购一体化平台进行</w:t>
      </w:r>
      <w:r>
        <w:rPr>
          <w:rFonts w:hint="eastAsia" w:cs="宋体" w:asciiTheme="minorEastAsia" w:hAnsiTheme="minorEastAsia" w:eastAsiaTheme="minorEastAsia"/>
          <w:color w:val="000000" w:themeColor="text1"/>
          <w:kern w:val="0"/>
          <w:szCs w:val="21"/>
          <w14:textFill>
            <w14:solidFill>
              <w14:schemeClr w14:val="tx1"/>
            </w14:solidFill>
          </w14:textFill>
        </w:rPr>
        <w:t>零散采购</w:t>
      </w:r>
      <w:r>
        <w:rPr>
          <w:rFonts w:hint="eastAsia" w:cs="宋体" w:asciiTheme="minorEastAsia" w:hAnsiTheme="minorEastAsia" w:eastAsiaTheme="minorEastAsia"/>
          <w:color w:val="000000" w:themeColor="text1"/>
          <w:szCs w:val="21"/>
          <w14:textFill>
            <w14:solidFill>
              <w14:schemeClr w14:val="tx1"/>
            </w14:solidFill>
          </w14:textFill>
        </w:rPr>
        <w:t>，参与项目的供应商必须登录平台进行注册，注册成功后方可参与项目。</w:t>
      </w:r>
    </w:p>
    <w:p>
      <w:pPr>
        <w:widowControl/>
        <w:numPr>
          <w:ilvl w:val="0"/>
          <w:numId w:val="2"/>
        </w:numPr>
        <w:spacing w:after="0" w:line="360" w:lineRule="auto"/>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语言要求</w:t>
      </w:r>
    </w:p>
    <w:p>
      <w:pPr>
        <w:widowControl/>
        <w:spacing w:after="0" w:line="360" w:lineRule="auto"/>
        <w:ind w:left="420"/>
        <w:jc w:val="left"/>
        <w:rPr>
          <w:rFonts w:hint="eastAsia"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widowControl/>
        <w:numPr>
          <w:ilvl w:val="0"/>
          <w:numId w:val="2"/>
        </w:numPr>
        <w:spacing w:after="0" w:line="360" w:lineRule="auto"/>
        <w:jc w:val="left"/>
        <w:rPr>
          <w:rFonts w:hint="eastAsia" w:asciiTheme="minorEastAsia" w:hAnsiTheme="minorEastAsia"/>
          <w:szCs w:val="21"/>
        </w:rPr>
      </w:pPr>
      <w:r>
        <w:rPr>
          <w:rFonts w:hint="eastAsia" w:cs="宋体" w:asciiTheme="minorEastAsia" w:hAnsiTheme="minorEastAsia"/>
          <w:szCs w:val="21"/>
        </w:rPr>
        <w:t xml:space="preserve">在云采链平台参与零散采购项目后放弃成交资格超过三次（含三次）的供应商连同该供应商同一法人名下所有公司将被列入平台黑名单，永久不得参与平台的采购项目。  </w:t>
      </w:r>
    </w:p>
    <w:p>
      <w:pPr>
        <w:widowControl/>
        <w:numPr>
          <w:ilvl w:val="0"/>
          <w:numId w:val="2"/>
        </w:numPr>
        <w:spacing w:after="0" w:line="360" w:lineRule="auto"/>
        <w:jc w:val="left"/>
        <w:rPr>
          <w:rFonts w:hint="eastAsia" w:cs="宋体" w:asciiTheme="minorEastAsia" w:hAnsiTheme="minorEastAsia"/>
          <w:b/>
          <w:bCs/>
          <w:color w:val="FF0000"/>
          <w:szCs w:val="21"/>
        </w:rPr>
      </w:pPr>
      <w:r>
        <w:rPr>
          <w:rFonts w:hint="eastAsia" w:cs="宋体" w:asciiTheme="minorEastAsia" w:hAnsiTheme="minorEastAsia"/>
          <w:b/>
          <w:bCs/>
          <w:color w:val="FF0000"/>
          <w:szCs w:val="21"/>
        </w:rPr>
        <w:t>如无正当理由放弃成交资格的供应商连同该供应商同一法人名下所有公司将被列入采购人黑名单，永久不得参与采购人的项目。</w:t>
      </w:r>
    </w:p>
    <w:p>
      <w:pPr>
        <w:widowControl/>
        <w:numPr>
          <w:ilvl w:val="0"/>
          <w:numId w:val="2"/>
        </w:numPr>
        <w:spacing w:after="0" w:line="360" w:lineRule="auto"/>
        <w:jc w:val="left"/>
        <w:rPr>
          <w:rFonts w:hint="eastAsia" w:cs="宋体" w:asciiTheme="minorEastAsia" w:hAnsiTheme="minorEastAsia"/>
          <w:b/>
          <w:bCs/>
          <w:color w:val="FF0000"/>
          <w:szCs w:val="21"/>
        </w:rPr>
      </w:pPr>
      <w:r>
        <w:rPr>
          <w:rFonts w:hint="eastAsia" w:cs="宋体" w:asciiTheme="minorEastAsia" w:hAnsiTheme="minorEastAsia"/>
          <w:b/>
          <w:bCs/>
          <w:color w:val="FF0000"/>
          <w:szCs w:val="21"/>
        </w:rPr>
        <w:t>凡参与采购人项目零散采购过程中有围标串标等违规情况的供应商不得再参与采购人重新启动的项目，因围标串标行为导致废标的供应商将被列入采购人黑名单，一年内不得参与采购人的项目。</w:t>
      </w:r>
    </w:p>
    <w:p>
      <w:pPr>
        <w:widowControl/>
        <w:numPr>
          <w:ilvl w:val="0"/>
          <w:numId w:val="2"/>
        </w:numPr>
        <w:spacing w:after="0" w:line="360" w:lineRule="auto"/>
        <w:jc w:val="left"/>
        <w:rPr>
          <w:rFonts w:hint="eastAsia" w:cs="宋体" w:asciiTheme="minorEastAsia" w:hAnsiTheme="minorEastAsia"/>
          <w:b/>
          <w:bCs/>
          <w:color w:val="FF0000"/>
          <w:szCs w:val="21"/>
        </w:rPr>
      </w:pPr>
      <w:r>
        <w:rPr>
          <w:rFonts w:hint="eastAsia" w:cs="宋体" w:asciiTheme="minorEastAsia" w:hAnsiTheme="minorEastAsia"/>
          <w:b/>
          <w:bCs/>
          <w:color w:val="FF0000"/>
          <w:szCs w:val="21"/>
        </w:rPr>
        <w:t xml:space="preserve">供应商因报价不严肃（包含但不限于报价随意等情况）、不严谨（包含但不限于个别采购内容漏报价、合计金额超过项目最高限价等情况）、恶意报价从而影响采购工作正常进度，平台将对其进行警告处理，供应商将被列入采购人黑名单，一年内不得参与采购人的项目。 </w:t>
      </w:r>
    </w:p>
    <w:p>
      <w:pPr>
        <w:widowControl/>
        <w:numPr>
          <w:ilvl w:val="0"/>
          <w:numId w:val="2"/>
        </w:numPr>
        <w:spacing w:after="0" w:line="360" w:lineRule="auto"/>
        <w:jc w:val="left"/>
        <w:rPr>
          <w:rFonts w:hint="eastAsia"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零散采购须知</w:t>
      </w:r>
    </w:p>
    <w:p>
      <w:pPr>
        <w:widowControl/>
        <w:numPr>
          <w:ilvl w:val="0"/>
          <w:numId w:val="3"/>
        </w:numPr>
        <w:spacing w:after="0" w:line="360" w:lineRule="auto"/>
        <w:jc w:val="left"/>
        <w:rPr>
          <w:rFonts w:hint="eastAsia"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零散采购说明</w:t>
      </w:r>
    </w:p>
    <w:p>
      <w:pPr>
        <w:widowControl/>
        <w:numPr>
          <w:ilvl w:val="0"/>
          <w:numId w:val="4"/>
        </w:numPr>
        <w:spacing w:after="0" w:line="360" w:lineRule="auto"/>
        <w:ind w:left="420" w:firstLine="0"/>
        <w:jc w:val="left"/>
        <w:rPr>
          <w:rFonts w:hint="eastAsia" w:cs="宋体" w:asciiTheme="minorEastAsia" w:hAnsiTheme="minorEastAsia"/>
          <w:szCs w:val="21"/>
        </w:rPr>
      </w:pPr>
      <w:r>
        <w:rPr>
          <w:rFonts w:hint="eastAsia" w:cs="宋体" w:asciiTheme="minorEastAsia" w:hAnsiTheme="minorEastAsia"/>
          <w:szCs w:val="21"/>
        </w:rPr>
        <w:t>参与项目的供应商应承担所有与准备和参加项目有关的费用，不论项目的结果如何，采购人和代理机构均无义务和责任承担这些费用。</w:t>
      </w:r>
    </w:p>
    <w:p>
      <w:pPr>
        <w:widowControl/>
        <w:numPr>
          <w:ilvl w:val="0"/>
          <w:numId w:val="4"/>
        </w:numPr>
        <w:spacing w:after="0" w:line="360" w:lineRule="auto"/>
        <w:ind w:left="420" w:firstLine="0"/>
        <w:jc w:val="left"/>
        <w:rPr>
          <w:rFonts w:hint="eastAsia" w:cs="宋体" w:asciiTheme="minorEastAsia" w:hAnsiTheme="minorEastAsia"/>
          <w:szCs w:val="21"/>
        </w:rPr>
      </w:pPr>
      <w:r>
        <w:rPr>
          <w:rFonts w:hint="eastAsia" w:cs="宋体" w:asciiTheme="minorEastAsia" w:hAnsiTheme="minorEastAsia"/>
          <w:szCs w:val="21"/>
        </w:rPr>
        <w:t>参与项目的供应商必须按项目附件的格式填写，不得增加或删除表格内容。除单价、金额或项目要求填写的内容外，不得擅自改动项目附件内容，否则将有可能影响成交结果，不推荐为成交候选人。</w:t>
      </w:r>
    </w:p>
    <w:p>
      <w:pPr>
        <w:widowControl/>
        <w:numPr>
          <w:ilvl w:val="0"/>
          <w:numId w:val="4"/>
        </w:numPr>
        <w:spacing w:after="0" w:line="360" w:lineRule="auto"/>
        <w:ind w:left="420" w:firstLine="0"/>
        <w:jc w:val="left"/>
        <w:rPr>
          <w:rFonts w:hint="eastAsia" w:cs="宋体" w:asciiTheme="minorEastAsia" w:hAnsiTheme="minorEastAsia"/>
          <w:szCs w:val="21"/>
        </w:rPr>
      </w:pPr>
      <w:r>
        <w:rPr>
          <w:rFonts w:hint="eastAsia" w:cs="宋体" w:asciiTheme="minorEastAsia" w:hAnsiTheme="minorEastAsia"/>
          <w:szCs w:val="21"/>
        </w:rPr>
        <w:t>参与项目的供应商需对用户需求书的所有条款进行整体响应，用户需求书条款若有一条负偏离或不响应，不推荐为成交候选人。</w:t>
      </w:r>
    </w:p>
    <w:p>
      <w:pPr>
        <w:widowControl/>
        <w:numPr>
          <w:ilvl w:val="0"/>
          <w:numId w:val="4"/>
        </w:numPr>
        <w:spacing w:after="0" w:line="360" w:lineRule="auto"/>
        <w:ind w:left="420" w:firstLine="0"/>
        <w:jc w:val="left"/>
        <w:rPr>
          <w:rFonts w:hint="eastAsia" w:cs="宋体" w:asciiTheme="minorEastAsia" w:hAnsiTheme="minorEastAsia"/>
          <w:szCs w:val="21"/>
        </w:rPr>
      </w:pPr>
      <w:r>
        <w:rPr>
          <w:rFonts w:hint="eastAsia" w:cs="宋体" w:asciiTheme="minorEastAsia" w:hAnsiTheme="minorEastAsia"/>
          <w:szCs w:val="21"/>
        </w:rPr>
        <w:t>若成交供应商自身原因无法完成本项目，则采购人有权利保留追究责任。</w:t>
      </w:r>
    </w:p>
    <w:p>
      <w:pPr>
        <w:widowControl/>
        <w:numPr>
          <w:ilvl w:val="0"/>
          <w:numId w:val="4"/>
        </w:numPr>
        <w:spacing w:after="0" w:line="360" w:lineRule="auto"/>
        <w:ind w:left="420" w:firstLine="0"/>
        <w:jc w:val="left"/>
        <w:rPr>
          <w:rFonts w:hint="eastAsia" w:cs="宋体" w:asciiTheme="minorEastAsia" w:hAnsiTheme="minorEastAsia"/>
          <w:szCs w:val="21"/>
        </w:rPr>
      </w:pPr>
      <w:r>
        <w:rPr>
          <w:rFonts w:hint="eastAsia" w:cs="宋体" w:asciiTheme="minorEastAsia" w:hAnsiTheme="minorEastAsia"/>
          <w:szCs w:val="21"/>
        </w:rPr>
        <w:t>成交供应商因自身原因被取消成交资格，采购人可重新启动采购或按项目公告规定顺延推选符合要求的供应商作为成交人。</w:t>
      </w:r>
    </w:p>
    <w:p>
      <w:pPr>
        <w:widowControl/>
        <w:numPr>
          <w:ilvl w:val="0"/>
          <w:numId w:val="4"/>
        </w:numPr>
        <w:spacing w:after="0" w:line="360" w:lineRule="auto"/>
        <w:ind w:left="420" w:firstLine="0"/>
        <w:jc w:val="left"/>
        <w:rPr>
          <w:rFonts w:hint="eastAsia" w:cs="宋体" w:asciiTheme="minorEastAsia" w:hAnsiTheme="minorEastAsia"/>
          <w:szCs w:val="21"/>
        </w:rPr>
      </w:pPr>
      <w:r>
        <w:rPr>
          <w:rFonts w:hint="eastAsia" w:cs="宋体" w:asciiTheme="minorEastAsia" w:hAnsiTheme="minorEastAsia"/>
          <w:szCs w:val="21"/>
        </w:rPr>
        <w:t>若本项目采购失败，采购人将重新采购，届时采购人有权根据项目具体情况，决定重新采购项目的采购方式。</w:t>
      </w:r>
    </w:p>
    <w:p>
      <w:pPr>
        <w:widowControl/>
        <w:numPr>
          <w:ilvl w:val="0"/>
          <w:numId w:val="4"/>
        </w:numPr>
        <w:spacing w:after="0" w:line="360" w:lineRule="auto"/>
        <w:ind w:left="420" w:firstLine="0"/>
        <w:jc w:val="left"/>
        <w:rPr>
          <w:rFonts w:hint="eastAsia" w:cs="宋体" w:asciiTheme="minorEastAsia" w:hAnsiTheme="minorEastAsia"/>
          <w:szCs w:val="21"/>
        </w:rPr>
      </w:pPr>
      <w:r>
        <w:rPr>
          <w:rFonts w:hint="eastAsia" w:cs="宋体" w:asciiTheme="minorEastAsia" w:hAnsiTheme="minorEastAsia"/>
          <w:szCs w:val="21"/>
        </w:rPr>
        <w:t>成交供应商若无正当理由恶意放弃成交资格，采购人有权将拒绝其参加本项目重新组织的采购活动。</w:t>
      </w:r>
    </w:p>
    <w:p>
      <w:pPr>
        <w:widowControl/>
        <w:numPr>
          <w:ilvl w:val="0"/>
          <w:numId w:val="4"/>
        </w:numPr>
        <w:spacing w:after="0" w:line="360" w:lineRule="auto"/>
        <w:ind w:left="420" w:firstLine="0"/>
        <w:jc w:val="left"/>
        <w:rPr>
          <w:rFonts w:hint="eastAsia" w:cs="宋体" w:asciiTheme="minorEastAsia" w:hAnsiTheme="minorEastAsia"/>
          <w:szCs w:val="21"/>
        </w:rPr>
      </w:pPr>
      <w:r>
        <w:rPr>
          <w:rFonts w:hint="eastAsia" w:cs="宋体" w:asciiTheme="minorEastAsia" w:hAnsiTheme="minorEastAsia"/>
          <w:szCs w:val="21"/>
        </w:rPr>
        <w:t>如采购人或代理机构在审核或复核参与项目的供应商所提交的项目资料时，供应商须无条件配合；期间若发现存在弄虚作假或相关的失信记录或违反国家法律法规等相关的不良情形，采购人可取消其成交资格并保留追究责任的权力。</w:t>
      </w:r>
    </w:p>
    <w:p>
      <w:pPr>
        <w:widowControl/>
        <w:numPr>
          <w:ilvl w:val="0"/>
          <w:numId w:val="4"/>
        </w:numPr>
        <w:spacing w:after="0" w:line="360" w:lineRule="auto"/>
        <w:ind w:left="420" w:firstLine="0"/>
        <w:jc w:val="left"/>
        <w:rPr>
          <w:rFonts w:hint="eastAsia" w:cs="宋体" w:asciiTheme="minorEastAsia" w:hAnsiTheme="minorEastAsia"/>
          <w:szCs w:val="21"/>
        </w:rPr>
      </w:pPr>
      <w:r>
        <w:rPr>
          <w:rFonts w:hint="eastAsia" w:cs="宋体" w:asciiTheme="minorEastAsia" w:hAnsiTheme="minorEastAsia"/>
          <w:szCs w:val="21"/>
        </w:rPr>
        <w:t>参与项目的供应商向我司咨询的有关项目事项，一切以项目文件规定和项目公告规定以及本公司的书面答复为准，其他一切形式均为个人意见，不代表本公司的意见。</w:t>
      </w:r>
    </w:p>
    <w:p>
      <w:pPr>
        <w:widowControl/>
        <w:numPr>
          <w:ilvl w:val="0"/>
          <w:numId w:val="4"/>
        </w:numPr>
        <w:spacing w:after="0" w:line="360" w:lineRule="auto"/>
        <w:ind w:left="420" w:firstLine="0"/>
        <w:jc w:val="left"/>
        <w:rPr>
          <w:rFonts w:hint="eastAsia" w:cs="宋体" w:asciiTheme="minorEastAsia" w:hAnsiTheme="minorEastAsia"/>
          <w:szCs w:val="21"/>
        </w:rPr>
      </w:pPr>
      <w:r>
        <w:rPr>
          <w:rFonts w:hint="eastAsia" w:cs="宋体" w:asciiTheme="minorEastAsia" w:hAnsiTheme="minorEastAsia"/>
          <w:szCs w:val="21"/>
        </w:rPr>
        <w:t>参与项目的供应商应认真阅读、并充分理解项目文件的全部内容（包括所有的补充、修改内容重要事项、格式、条款、服务要求和技术规范、参数及要求等）。供应商没有按照项目文件要求提交全部资料，或者参与项目所上传的文件没有对项目文件在各方面都作出实质性响应是供应商的风险，有可能导致其响应被拒绝，或被认定为无效响应。</w:t>
      </w:r>
    </w:p>
    <w:p>
      <w:pPr>
        <w:widowControl/>
        <w:numPr>
          <w:ilvl w:val="0"/>
          <w:numId w:val="4"/>
        </w:numPr>
        <w:spacing w:after="0" w:line="360" w:lineRule="auto"/>
        <w:ind w:left="420" w:firstLine="0"/>
        <w:jc w:val="left"/>
        <w:rPr>
          <w:rFonts w:hint="eastAsia" w:cs="宋体" w:asciiTheme="minorEastAsia" w:hAnsiTheme="minorEastAsia"/>
          <w:szCs w:val="21"/>
        </w:rPr>
      </w:pPr>
      <w:r>
        <w:rPr>
          <w:rFonts w:hint="eastAsia" w:cs="宋体" w:asciiTheme="minorEastAsia" w:hAnsiTheme="minorEastAsia"/>
          <w:szCs w:val="21"/>
        </w:rPr>
        <w:t>采购人有权拒绝接受任何不合格的货物或服务，由此产生的费用及相关后果均由成交供应商自行承担。</w:t>
      </w:r>
    </w:p>
    <w:p>
      <w:pPr>
        <w:widowControl/>
        <w:numPr>
          <w:ilvl w:val="0"/>
          <w:numId w:val="4"/>
        </w:numPr>
        <w:spacing w:after="0" w:line="360" w:lineRule="auto"/>
        <w:ind w:left="420" w:firstLine="0"/>
        <w:jc w:val="left"/>
        <w:rPr>
          <w:rFonts w:hint="eastAsia" w:cs="宋体" w:asciiTheme="minorEastAsia" w:hAnsiTheme="minorEastAsia"/>
          <w:b/>
          <w:bCs/>
        </w:rPr>
      </w:pPr>
      <w:r>
        <w:rPr>
          <w:rFonts w:hint="eastAsia" w:cs="宋体" w:asciiTheme="minorEastAsia" w:hAnsiTheme="minorEastAsia"/>
          <w:b/>
          <w:bCs/>
        </w:rPr>
        <w:t>成交供应商应在项目结果发布7日历天内与采购单位签订书面合同并按合同约定完成成交项目；若采购单位无签订合同的要求，成交供应商应在项目结果发布7日历天内与采购单位约定项目执行事宜；否则将有可能被取消成交资格。</w:t>
      </w:r>
    </w:p>
    <w:p>
      <w:pPr>
        <w:widowControl/>
        <w:numPr>
          <w:ilvl w:val="0"/>
          <w:numId w:val="4"/>
        </w:numPr>
        <w:spacing w:after="0" w:line="360" w:lineRule="auto"/>
        <w:ind w:left="420" w:firstLine="0"/>
        <w:jc w:val="left"/>
        <w:rPr>
          <w:rFonts w:hint="eastAsia" w:cs="宋体" w:asciiTheme="minorEastAsia" w:hAnsiTheme="minorEastAsia"/>
          <w:b/>
          <w:bCs/>
          <w:szCs w:val="21"/>
        </w:rPr>
      </w:pPr>
      <w:r>
        <w:rPr>
          <w:rFonts w:hint="eastAsia" w:cs="宋体" w:asciiTheme="minorEastAsia" w:hAnsiTheme="minorEastAsia"/>
          <w:b/>
          <w:bCs/>
          <w:szCs w:val="21"/>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p>
    <w:p>
      <w:pPr>
        <w:widowControl/>
        <w:numPr>
          <w:ilvl w:val="0"/>
          <w:numId w:val="4"/>
        </w:numPr>
        <w:spacing w:after="0" w:line="360" w:lineRule="auto"/>
        <w:ind w:left="420" w:firstLine="0"/>
        <w:jc w:val="left"/>
        <w:rPr>
          <w:rFonts w:hint="eastAsia" w:cs="宋体" w:asciiTheme="minorEastAsia" w:hAnsiTheme="minorEastAsia"/>
          <w:b/>
          <w:bCs/>
          <w:szCs w:val="21"/>
        </w:rPr>
      </w:pPr>
      <w:r>
        <w:rPr>
          <w:rFonts w:hint="eastAsia" w:cs="宋体" w:asciiTheme="minorEastAsia" w:hAnsiTheme="minorEastAsia"/>
          <w:b/>
          <w:bCs/>
          <w:szCs w:val="21"/>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pPr>
        <w:widowControl/>
        <w:numPr>
          <w:ilvl w:val="0"/>
          <w:numId w:val="4"/>
        </w:numPr>
        <w:spacing w:after="0" w:line="360" w:lineRule="auto"/>
        <w:ind w:left="420" w:firstLine="0"/>
        <w:jc w:val="left"/>
        <w:rPr>
          <w:rFonts w:hint="eastAsia" w:cs="宋体" w:asciiTheme="minorEastAsia" w:hAnsiTheme="minorEastAsia"/>
          <w:szCs w:val="21"/>
        </w:rPr>
      </w:pPr>
      <w:r>
        <w:rPr>
          <w:rFonts w:hint="eastAsia" w:cs="宋体" w:asciiTheme="minorEastAsia" w:hAnsiTheme="minorEastAsia"/>
          <w:szCs w:val="21"/>
        </w:rPr>
        <w:t>供应商认为项目结果损害其权益的，应按照云采链平台相关指引在规定的时间内向采购人或代理机构提交书面质疑，不提交的视为无异议，逾期提交将不予受理。</w:t>
      </w:r>
    </w:p>
    <w:p>
      <w:pPr>
        <w:widowControl/>
        <w:numPr>
          <w:ilvl w:val="0"/>
          <w:numId w:val="4"/>
        </w:numPr>
        <w:spacing w:after="0" w:line="360" w:lineRule="auto"/>
        <w:ind w:left="420" w:firstLine="0"/>
        <w:jc w:val="left"/>
        <w:rPr>
          <w:rFonts w:hint="eastAsia" w:cs="宋体" w:asciiTheme="minorEastAsia" w:hAnsiTheme="minorEastAsia"/>
          <w:szCs w:val="21"/>
        </w:rPr>
      </w:pPr>
      <w:r>
        <w:rPr>
          <w:rFonts w:hint="eastAsia" w:cs="宋体" w:asciiTheme="minorEastAsia" w:hAnsiTheme="minorEastAsia"/>
          <w:szCs w:val="21"/>
        </w:rPr>
        <w:t>本项目公告和项目文件的解释权归“云采链线上采购一体化平台”所有。</w:t>
      </w:r>
    </w:p>
    <w:p>
      <w:pPr>
        <w:widowControl/>
        <w:numPr>
          <w:ilvl w:val="0"/>
          <w:numId w:val="3"/>
        </w:numPr>
        <w:spacing w:after="0" w:line="360" w:lineRule="auto"/>
        <w:jc w:val="left"/>
        <w:rPr>
          <w:rFonts w:hint="eastAsia" w:asciiTheme="minorEastAsia" w:hAnsiTheme="minorEastAsia"/>
          <w:szCs w:val="21"/>
        </w:rPr>
      </w:pPr>
      <w:r>
        <w:rPr>
          <w:rFonts w:hint="eastAsia" w:asciiTheme="minorEastAsia" w:hAnsiTheme="minorEastAsia"/>
          <w:b/>
          <w:szCs w:val="21"/>
        </w:rPr>
        <w:t>项目文件的澄清或修改</w:t>
      </w:r>
    </w:p>
    <w:p>
      <w:pPr>
        <w:widowControl/>
        <w:numPr>
          <w:ilvl w:val="1"/>
          <w:numId w:val="5"/>
        </w:numPr>
        <w:spacing w:after="0" w:line="360" w:lineRule="auto"/>
        <w:ind w:left="420" w:firstLine="0"/>
        <w:jc w:val="left"/>
        <w:rPr>
          <w:rFonts w:hint="eastAsia" w:asciiTheme="minorEastAsia" w:hAnsiTheme="minorEastAsia"/>
          <w:szCs w:val="21"/>
        </w:rPr>
      </w:pPr>
      <w:r>
        <w:rPr>
          <w:rFonts w:hint="eastAsia" w:asciiTheme="minorEastAsia" w:hAnsiTheme="minorEastAsia"/>
          <w:szCs w:val="21"/>
        </w:rPr>
        <w:t>采购人或者采购代理机构可以对已发出的项目文件进行必要的澄清或者修改。澄清或者修改的内容将在云采链平台上发布澄清（更正/变更）公告。</w:t>
      </w:r>
    </w:p>
    <w:p>
      <w:pPr>
        <w:widowControl/>
        <w:numPr>
          <w:ilvl w:val="1"/>
          <w:numId w:val="5"/>
        </w:numPr>
        <w:spacing w:after="0" w:line="360" w:lineRule="auto"/>
        <w:ind w:left="420" w:firstLine="0"/>
        <w:jc w:val="left"/>
        <w:rPr>
          <w:rFonts w:hint="eastAsia" w:asciiTheme="minorEastAsia" w:hAnsiTheme="minorEastAsia"/>
          <w:szCs w:val="21"/>
        </w:rPr>
      </w:pPr>
      <w:r>
        <w:rPr>
          <w:rFonts w:hint="eastAsia" w:asciiTheme="minorEastAsia" w:hAnsiTheme="minorEastAsia"/>
          <w:szCs w:val="21"/>
        </w:rPr>
        <w:t>无论澄清或者修改的内容是否影响项目，平台将以短信形式通知所有的报名供应商；报名供应商应按要求履行相应的义务；</w:t>
      </w:r>
      <w:r>
        <w:rPr>
          <w:rFonts w:hint="eastAsia" w:cs="宋体" w:asciiTheme="minorEastAsia" w:hAnsiTheme="minorEastAsia"/>
          <w:szCs w:val="21"/>
        </w:rPr>
        <w:t>如报名</w:t>
      </w:r>
      <w:r>
        <w:rPr>
          <w:rFonts w:hint="eastAsia" w:cs="宋体" w:asciiTheme="minorEastAsia" w:hAnsiTheme="minorEastAsia"/>
          <w:szCs w:val="21"/>
          <w:lang w:eastAsia="zh-TW"/>
        </w:rPr>
        <w:t>截止时间</w:t>
      </w:r>
      <w:r>
        <w:rPr>
          <w:rFonts w:hint="eastAsia" w:cs="宋体" w:asciiTheme="minorEastAsia" w:hAnsiTheme="minorEastAsia"/>
          <w:szCs w:val="21"/>
        </w:rPr>
        <w:t>少于一个工作日的，</w:t>
      </w:r>
      <w:r>
        <w:rPr>
          <w:rFonts w:hint="eastAsia" w:asciiTheme="minorEastAsia" w:hAnsiTheme="minorEastAsia"/>
          <w:szCs w:val="21"/>
        </w:rPr>
        <w:t>采购人或者采购代理机构应当相应顺延报名的截止时间。</w:t>
      </w:r>
    </w:p>
    <w:p>
      <w:pPr>
        <w:widowControl/>
        <w:numPr>
          <w:ilvl w:val="1"/>
          <w:numId w:val="5"/>
        </w:numPr>
        <w:spacing w:after="0" w:line="360" w:lineRule="auto"/>
        <w:ind w:left="420" w:firstLine="0"/>
        <w:jc w:val="left"/>
        <w:rPr>
          <w:rFonts w:hint="eastAsia" w:asciiTheme="minorEastAsia" w:hAnsiTheme="minorEastAsia"/>
          <w:szCs w:val="21"/>
        </w:rPr>
      </w:pPr>
      <w:r>
        <w:rPr>
          <w:rFonts w:hint="eastAsia" w:asciiTheme="minorEastAsia" w:hAnsiTheme="minorEastAsia"/>
          <w:szCs w:val="21"/>
        </w:rPr>
        <w:t>采购人或者采购代理机构发出的澄清或修改（更正/变更）的内容为项目文件的组成部分，并对供应商具有约束力。</w:t>
      </w:r>
    </w:p>
    <w:p>
      <w:pPr>
        <w:widowControl/>
        <w:numPr>
          <w:ilvl w:val="0"/>
          <w:numId w:val="3"/>
        </w:numPr>
        <w:spacing w:after="0" w:line="360" w:lineRule="auto"/>
        <w:jc w:val="left"/>
        <w:rPr>
          <w:rFonts w:hint="eastAsia" w:asciiTheme="minorEastAsia" w:hAnsiTheme="minorEastAsia"/>
          <w:b/>
          <w:bCs/>
          <w:szCs w:val="21"/>
        </w:rPr>
      </w:pPr>
      <w:r>
        <w:rPr>
          <w:rFonts w:hint="eastAsia" w:cs="宋体" w:asciiTheme="minorEastAsia" w:hAnsiTheme="minorEastAsia"/>
          <w:b/>
          <w:bCs/>
          <w:szCs w:val="21"/>
        </w:rPr>
        <w:t>报名要求（</w:t>
      </w:r>
      <w:r>
        <w:rPr>
          <w:rFonts w:hint="eastAsia" w:cs="宋体" w:asciiTheme="minorEastAsia" w:hAnsiTheme="minorEastAsia"/>
          <w:szCs w:val="21"/>
        </w:rPr>
        <w:t>参与项目的</w:t>
      </w:r>
      <w:r>
        <w:rPr>
          <w:rFonts w:hint="eastAsia" w:cs="宋体" w:asciiTheme="minorEastAsia" w:hAnsiTheme="minorEastAsia"/>
          <w:b/>
          <w:bCs/>
          <w:szCs w:val="21"/>
        </w:rPr>
        <w:t>供应商资质要求</w:t>
      </w:r>
      <w:r>
        <w:rPr>
          <w:rFonts w:cs="宋体" w:asciiTheme="minorEastAsia" w:hAnsiTheme="minorEastAsia"/>
          <w:b/>
          <w:bCs/>
          <w:szCs w:val="21"/>
        </w:rPr>
        <w:t>:</w:t>
      </w:r>
      <w:r>
        <w:rPr>
          <w:rFonts w:hint="eastAsia" w:cs="宋体" w:asciiTheme="minorEastAsia" w:hAnsiTheme="minorEastAsia"/>
          <w:szCs w:val="21"/>
        </w:rPr>
        <w:t>报名时需要提供以下盖章资料，</w:t>
      </w:r>
      <w:r>
        <w:rPr>
          <w:rFonts w:hint="eastAsia" w:cs="宋体" w:asciiTheme="minorEastAsia" w:hAnsiTheme="minorEastAsia"/>
          <w:b/>
          <w:bCs/>
          <w:szCs w:val="21"/>
        </w:rPr>
        <w:t>加盖响应供应商公章，</w:t>
      </w:r>
      <w:r>
        <w:rPr>
          <w:rFonts w:hint="eastAsia" w:cs="宋体" w:asciiTheme="minorEastAsia" w:hAnsiTheme="minorEastAsia"/>
          <w:szCs w:val="21"/>
        </w:rPr>
        <w:t>并对上传的报名文件资料承担责任</w:t>
      </w:r>
      <w:r>
        <w:rPr>
          <w:rFonts w:hint="eastAsia" w:cs="宋体" w:asciiTheme="minorEastAsia" w:hAnsiTheme="minorEastAsia"/>
          <w:b/>
          <w:bCs/>
          <w:szCs w:val="21"/>
        </w:rPr>
        <w:t>）</w:t>
      </w:r>
    </w:p>
    <w:p>
      <w:pPr>
        <w:widowControl/>
        <w:numPr>
          <w:ilvl w:val="0"/>
          <w:numId w:val="6"/>
        </w:numPr>
        <w:spacing w:after="0" w:line="360" w:lineRule="auto"/>
        <w:ind w:left="420" w:firstLine="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widowControl/>
        <w:numPr>
          <w:ilvl w:val="0"/>
          <w:numId w:val="6"/>
        </w:numPr>
        <w:spacing w:after="0" w:line="360" w:lineRule="auto"/>
        <w:ind w:left="420" w:firstLine="0"/>
        <w:jc w:val="left"/>
        <w:rPr>
          <w:rFonts w:hint="eastAsia" w:cs="宋体" w:asciiTheme="minorEastAsia" w:hAnsiTheme="minorEastAsia"/>
          <w:b/>
          <w:bCs/>
          <w:color w:val="000000" w:themeColor="text1"/>
          <w:szCs w:val="21"/>
          <w14:textFill>
            <w14:solidFill>
              <w14:schemeClr w14:val="tx1"/>
            </w14:solidFill>
          </w14:textFill>
        </w:rPr>
      </w:pPr>
      <w:r>
        <w:rPr>
          <w:rFonts w:cs="宋体" w:asciiTheme="minorEastAsia" w:hAnsiTheme="minorEastAsia"/>
          <w:color w:val="000000" w:themeColor="text1"/>
          <w:szCs w:val="21"/>
          <w14:textFill>
            <w14:solidFill>
              <w14:schemeClr w14:val="tx1"/>
            </w14:solidFill>
          </w14:textFill>
        </w:rPr>
        <w:t>供应商满足《中华人民共和国政府采购法》第二十二条规定；本项目不允许联合参与；不允许分包转包；为采购项目提供整体设计、规范编制或者项目管理、监理、造价、检测等服务的供应商，不得再参加该采购项目同一合同项下的其他采购活动；法定代表人或单位负责人与所参投的本项目其他供应商的法定代表人或单位负责人不为同一人且与其他供应商之间不存在直接控股、管理关系；（提供《供应商资格声明函》，</w:t>
      </w:r>
      <w:r>
        <w:rPr>
          <w:rFonts w:cs="宋体" w:asciiTheme="minorEastAsia" w:hAnsiTheme="minorEastAsia"/>
          <w:b/>
          <w:bCs/>
          <w:color w:val="000000" w:themeColor="text1"/>
          <w:szCs w:val="21"/>
          <w14:textFill>
            <w14:solidFill>
              <w14:schemeClr w14:val="tx1"/>
            </w14:solidFill>
          </w14:textFill>
        </w:rPr>
        <w:t>格式</w:t>
      </w:r>
      <w:r>
        <w:rPr>
          <w:rFonts w:hint="eastAsia" w:cs="宋体" w:asciiTheme="minorEastAsia" w:hAnsiTheme="minorEastAsia"/>
          <w:b/>
          <w:bCs/>
          <w:color w:val="000000" w:themeColor="text1"/>
          <w:szCs w:val="21"/>
          <w14:textFill>
            <w14:solidFill>
              <w14:schemeClr w14:val="tx1"/>
            </w14:solidFill>
          </w14:textFill>
        </w:rPr>
        <w:t>详</w:t>
      </w:r>
      <w:r>
        <w:rPr>
          <w:rFonts w:cs="宋体" w:asciiTheme="minorEastAsia" w:hAnsiTheme="minorEastAsia"/>
          <w:b/>
          <w:bCs/>
          <w:color w:val="000000" w:themeColor="text1"/>
          <w:szCs w:val="21"/>
          <w14:textFill>
            <w14:solidFill>
              <w14:schemeClr w14:val="tx1"/>
            </w14:solidFill>
          </w14:textFill>
        </w:rPr>
        <w:t>见附件）。</w:t>
      </w:r>
    </w:p>
    <w:p>
      <w:pPr>
        <w:widowControl/>
        <w:numPr>
          <w:ilvl w:val="0"/>
          <w:numId w:val="6"/>
        </w:numPr>
        <w:spacing w:after="0" w:line="360" w:lineRule="auto"/>
        <w:ind w:left="420" w:firstLine="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供应商完全响应本项目用户需求的条款、内容及要求的，提供用户需求书响应声明函，</w:t>
      </w:r>
      <w:r>
        <w:rPr>
          <w:rFonts w:hint="eastAsia" w:cs="宋体" w:asciiTheme="minorEastAsia" w:hAnsiTheme="minorEastAsia"/>
          <w:b/>
          <w:bCs/>
          <w:color w:val="000000" w:themeColor="text1"/>
          <w:szCs w:val="21"/>
          <w14:textFill>
            <w14:solidFill>
              <w14:schemeClr w14:val="tx1"/>
            </w14:solidFill>
          </w14:textFill>
        </w:rPr>
        <w:t>格式详见附件。</w:t>
      </w:r>
    </w:p>
    <w:p>
      <w:pPr>
        <w:widowControl/>
        <w:numPr>
          <w:ilvl w:val="0"/>
          <w:numId w:val="6"/>
        </w:numPr>
        <w:spacing w:after="0" w:line="360" w:lineRule="auto"/>
        <w:ind w:left="420" w:firstLine="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供应商须具备</w:t>
      </w:r>
      <w:r>
        <w:rPr>
          <w:rFonts w:cs="宋体" w:asciiTheme="minorEastAsia" w:hAnsiTheme="minorEastAsia"/>
          <w:color w:val="000000" w:themeColor="text1"/>
          <w:szCs w:val="21"/>
          <w14:textFill>
            <w14:solidFill>
              <w14:schemeClr w14:val="tx1"/>
            </w14:solidFill>
          </w14:textFill>
        </w:rPr>
        <w:t>建设行政主管部门颁发的</w:t>
      </w:r>
      <w:r>
        <w:rPr>
          <w:rFonts w:hint="eastAsia" w:cs="宋体" w:asciiTheme="minorEastAsia" w:hAnsiTheme="minorEastAsia"/>
          <w:color w:val="000000" w:themeColor="text1"/>
          <w:szCs w:val="21"/>
          <w14:textFill>
            <w14:solidFill>
              <w14:schemeClr w14:val="tx1"/>
            </w14:solidFill>
          </w14:textFill>
        </w:rPr>
        <w:t>《建筑业企业资质证书》，资质类别为：</w:t>
      </w:r>
      <w:r>
        <w:rPr>
          <w:rFonts w:cs="宋体" w:asciiTheme="minorEastAsia" w:hAnsiTheme="minorEastAsia"/>
          <w:color w:val="000000" w:themeColor="text1"/>
          <w:szCs w:val="21"/>
          <w14:textFill>
            <w14:solidFill>
              <w14:schemeClr w14:val="tx1"/>
            </w14:solidFill>
          </w14:textFill>
        </w:rPr>
        <w:t>建筑机电安装工程专业承包</w:t>
      </w:r>
      <w:r>
        <w:rPr>
          <w:rFonts w:hint="eastAsia" w:cs="宋体" w:asciiTheme="minorEastAsia" w:hAnsiTheme="minorEastAsia"/>
          <w:color w:val="000000" w:themeColor="text1"/>
          <w:szCs w:val="21"/>
          <w14:textFill>
            <w14:solidFill>
              <w14:schemeClr w14:val="tx1"/>
            </w14:solidFill>
          </w14:textFill>
        </w:rPr>
        <w:t>，</w:t>
      </w:r>
      <w:r>
        <w:rPr>
          <w:rFonts w:hint="eastAsia" w:cs="宋体" w:asciiTheme="minorEastAsia" w:hAnsiTheme="minorEastAsia"/>
          <w:b/>
          <w:bCs/>
          <w:color w:val="000000" w:themeColor="text1"/>
          <w:szCs w:val="21"/>
          <w14:textFill>
            <w14:solidFill>
              <w14:schemeClr w14:val="tx1"/>
            </w14:solidFill>
          </w14:textFill>
        </w:rPr>
        <w:t>提供相关证明文件。</w:t>
      </w:r>
    </w:p>
    <w:p>
      <w:pPr>
        <w:pStyle w:val="66"/>
        <w:widowControl/>
        <w:numPr>
          <w:ilvl w:val="0"/>
          <w:numId w:val="3"/>
        </w:numPr>
        <w:spacing w:after="0" w:line="360" w:lineRule="auto"/>
        <w:ind w:firstLineChars="0"/>
        <w:jc w:val="left"/>
        <w:rPr>
          <w:rFonts w:hint="eastAsia" w:asciiTheme="minorEastAsia" w:hAnsiTheme="minorEastAsia" w:eastAsiaTheme="minorEastAsia"/>
          <w:b/>
          <w:bCs/>
          <w:szCs w:val="21"/>
        </w:rPr>
      </w:pPr>
      <w:r>
        <w:rPr>
          <w:rFonts w:hint="eastAsia" w:cs="宋体" w:asciiTheme="minorEastAsia" w:hAnsiTheme="minorEastAsia" w:eastAsiaTheme="minorEastAsia"/>
          <w:b/>
          <w:bCs/>
          <w:szCs w:val="21"/>
        </w:rPr>
        <w:t>报价要求（</w:t>
      </w:r>
      <w:r>
        <w:rPr>
          <w:rFonts w:hint="eastAsia" w:cs="宋体" w:asciiTheme="minorEastAsia" w:hAnsiTheme="minorEastAsia" w:eastAsiaTheme="minorEastAsia"/>
          <w:szCs w:val="21"/>
        </w:rPr>
        <w:t>报价时需要提供以下盖章资料，</w:t>
      </w:r>
      <w:r>
        <w:rPr>
          <w:rFonts w:hint="eastAsia" w:cs="宋体" w:asciiTheme="minorEastAsia" w:hAnsiTheme="minorEastAsia" w:eastAsiaTheme="minorEastAsia"/>
          <w:b/>
          <w:bCs/>
          <w:szCs w:val="21"/>
        </w:rPr>
        <w:t>加盖响应供应商公章，</w:t>
      </w:r>
      <w:r>
        <w:rPr>
          <w:rFonts w:hint="eastAsia" w:cs="宋体" w:asciiTheme="minorEastAsia" w:hAnsiTheme="minorEastAsia" w:eastAsiaTheme="minorEastAsia"/>
          <w:szCs w:val="21"/>
        </w:rPr>
        <w:t>并对上传的响应文件资料承担责任</w:t>
      </w:r>
      <w:r>
        <w:rPr>
          <w:rFonts w:hint="eastAsia" w:cs="宋体" w:asciiTheme="minorEastAsia" w:hAnsiTheme="minorEastAsia" w:eastAsiaTheme="minorEastAsia"/>
          <w:b/>
          <w:bCs/>
          <w:szCs w:val="21"/>
        </w:rPr>
        <w:t>）</w:t>
      </w:r>
    </w:p>
    <w:p>
      <w:pPr>
        <w:pStyle w:val="34"/>
        <w:numPr>
          <w:ilvl w:val="0"/>
          <w:numId w:val="7"/>
        </w:numPr>
        <w:spacing w:after="0" w:line="360" w:lineRule="auto"/>
        <w:ind w:left="420" w:firstLine="0" w:firstLineChars="0"/>
        <w:jc w:val="left"/>
        <w:rPr>
          <w:rFonts w:hint="eastAsia" w:cs="宋体" w:asciiTheme="minorEastAsia" w:hAnsiTheme="minorEastAsia"/>
          <w:szCs w:val="21"/>
        </w:rPr>
      </w:pPr>
      <w:r>
        <w:rPr>
          <w:rFonts w:hint="eastAsia" w:cs="宋体" w:asciiTheme="minorEastAsia" w:hAnsiTheme="minorEastAsia"/>
          <w:szCs w:val="21"/>
        </w:rPr>
        <w:t>通过报名供应商应根据本公告要求，在项目规定的时间内对采购项目进行报价，同时按本公告要求完整</w:t>
      </w:r>
      <w:r>
        <w:rPr>
          <w:rFonts w:hint="eastAsia" w:cs="宋体" w:asciiTheme="minorEastAsia" w:hAnsiTheme="minorEastAsia"/>
          <w:szCs w:val="21"/>
          <w:lang w:eastAsia="zh-TW"/>
        </w:rPr>
        <w:t>、真实、准确地</w:t>
      </w:r>
      <w:r>
        <w:rPr>
          <w:rFonts w:hint="eastAsia" w:cs="宋体" w:asciiTheme="minorEastAsia" w:hAnsiTheme="minorEastAsia"/>
          <w:szCs w:val="21"/>
        </w:rPr>
        <w:t>填写并上传相应报价附件</w:t>
      </w:r>
      <w:r>
        <w:rPr>
          <w:rFonts w:hint="eastAsia" w:cs="宋体" w:asciiTheme="minorEastAsia" w:hAnsiTheme="minorEastAsia"/>
          <w:b/>
          <w:bCs/>
          <w:szCs w:val="21"/>
          <w:highlight w:val="yellow"/>
        </w:rPr>
        <w:t>（</w:t>
      </w:r>
      <w:r>
        <w:rPr>
          <w:rFonts w:hint="eastAsia" w:cs="宋体" w:asciiTheme="minorEastAsia" w:hAnsiTheme="minorEastAsia"/>
          <w:b/>
          <w:bCs/>
          <w:szCs w:val="21"/>
          <w:highlight w:val="yellow"/>
          <w:lang w:bidi="ar"/>
        </w:rPr>
        <w:t>上传</w:t>
      </w:r>
      <w:r>
        <w:rPr>
          <w:rFonts w:hint="eastAsia" w:cs="宋体" w:asciiTheme="minorEastAsia" w:hAnsiTheme="minorEastAsia"/>
          <w:b/>
          <w:bCs/>
          <w:szCs w:val="21"/>
          <w:highlight w:val="yellow"/>
          <w:shd w:val="clear" w:color="auto" w:fill="FFFFFF"/>
          <w:lang w:bidi="ar"/>
        </w:rPr>
        <w:t>报价表、工程</w:t>
      </w:r>
      <w:r>
        <w:rPr>
          <w:rFonts w:hint="eastAsia" w:cs="宋体" w:asciiTheme="minorEastAsia" w:hAnsiTheme="minorEastAsia"/>
          <w:b/>
          <w:bCs/>
          <w:szCs w:val="21"/>
          <w:highlight w:val="yellow"/>
        </w:rPr>
        <w:t>量清单的报价表PDF盖章版本以及Excel版本共3份）</w:t>
      </w:r>
      <w:r>
        <w:rPr>
          <w:rFonts w:hint="eastAsia" w:cs="宋体" w:asciiTheme="minorEastAsia" w:hAnsiTheme="minorEastAsia"/>
          <w:b/>
          <w:bCs/>
          <w:szCs w:val="21"/>
        </w:rPr>
        <w:t>。</w:t>
      </w:r>
    </w:p>
    <w:p>
      <w:pPr>
        <w:pStyle w:val="34"/>
        <w:numPr>
          <w:ilvl w:val="0"/>
          <w:numId w:val="7"/>
        </w:numPr>
        <w:spacing w:after="0" w:line="360" w:lineRule="auto"/>
        <w:ind w:left="420" w:firstLine="0" w:firstLineChars="0"/>
        <w:jc w:val="left"/>
        <w:rPr>
          <w:rFonts w:hint="eastAsia" w:cs="宋体" w:asciiTheme="minorEastAsia" w:hAnsiTheme="minorEastAsia"/>
          <w:szCs w:val="21"/>
        </w:rPr>
      </w:pPr>
      <w:r>
        <w:rPr>
          <w:rFonts w:hint="eastAsia" w:cs="宋体" w:asciiTheme="minorEastAsia" w:hAnsiTheme="minorEastAsia"/>
          <w:b/>
          <w:bCs/>
          <w:szCs w:val="21"/>
        </w:rPr>
        <w:t>报价机会仅为1次，供应商应谨慎提交报价，由于错传、漏传、填错等原因导致的相关后果均由供应商自行承担。</w:t>
      </w:r>
    </w:p>
    <w:p>
      <w:pPr>
        <w:widowControl/>
        <w:numPr>
          <w:ilvl w:val="0"/>
          <w:numId w:val="3"/>
        </w:numPr>
        <w:spacing w:after="0" w:line="360" w:lineRule="auto"/>
        <w:jc w:val="left"/>
        <w:rPr>
          <w:rFonts w:hint="eastAsia" w:asciiTheme="minorEastAsia" w:hAnsiTheme="minorEastAsia"/>
          <w:b/>
          <w:bCs/>
          <w:szCs w:val="21"/>
        </w:rPr>
      </w:pPr>
      <w:r>
        <w:rPr>
          <w:rFonts w:hint="eastAsia" w:cs="宋体" w:asciiTheme="minorEastAsia" w:hAnsiTheme="minorEastAsia"/>
          <w:b/>
          <w:bCs/>
          <w:szCs w:val="21"/>
        </w:rPr>
        <w:t>确定成交候选人</w:t>
      </w:r>
    </w:p>
    <w:p>
      <w:pPr>
        <w:pStyle w:val="34"/>
        <w:numPr>
          <w:ilvl w:val="0"/>
          <w:numId w:val="8"/>
        </w:numPr>
        <w:tabs>
          <w:tab w:val="left" w:pos="540"/>
        </w:tabs>
        <w:autoSpaceDE w:val="0"/>
        <w:snapToGrid w:val="0"/>
        <w:spacing w:after="0" w:line="360" w:lineRule="auto"/>
        <w:ind w:left="420" w:firstLine="0" w:firstLineChars="0"/>
        <w:jc w:val="left"/>
        <w:textAlignment w:val="baseline"/>
        <w:rPr>
          <w:rFonts w:hint="eastAsia" w:ascii="宋体" w:hAnsi="宋体" w:eastAsia="宋体" w:cs="宋体"/>
          <w:b/>
          <w:bCs/>
        </w:rPr>
      </w:pPr>
      <w:r>
        <w:rPr>
          <w:rFonts w:hint="eastAsia" w:cs="宋体"/>
          <w:b/>
          <w:bCs/>
          <w:color w:val="000000" w:themeColor="text1"/>
          <w14:textFill>
            <w14:solidFill>
              <w14:schemeClr w14:val="tx1"/>
            </w14:solidFill>
          </w14:textFill>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r>
        <w:rPr>
          <w:rFonts w:hint="eastAsia" w:ascii="宋体" w:hAnsi="宋体" w:eastAsia="宋体" w:cs="宋体"/>
          <w:b/>
          <w:bCs/>
        </w:rPr>
        <w:t>。</w:t>
      </w:r>
    </w:p>
    <w:p>
      <w:pPr>
        <w:widowControl/>
        <w:numPr>
          <w:ilvl w:val="0"/>
          <w:numId w:val="3"/>
        </w:numPr>
        <w:spacing w:after="0" w:line="360" w:lineRule="auto"/>
        <w:jc w:val="left"/>
        <w:rPr>
          <w:rFonts w:hint="eastAsia" w:asciiTheme="minorEastAsia" w:hAnsiTheme="minorEastAsia"/>
          <w:b/>
          <w:bCs/>
          <w:szCs w:val="21"/>
        </w:rPr>
      </w:pPr>
      <w:r>
        <w:rPr>
          <w:rFonts w:hint="eastAsia" w:cs="宋体" w:asciiTheme="minorEastAsia" w:hAnsiTheme="minorEastAsia"/>
          <w:b/>
          <w:bCs/>
          <w:szCs w:val="21"/>
        </w:rPr>
        <w:t>无效报价</w:t>
      </w:r>
    </w:p>
    <w:p>
      <w:pPr>
        <w:pStyle w:val="110"/>
        <w:numPr>
          <w:ilvl w:val="0"/>
          <w:numId w:val="9"/>
        </w:numPr>
        <w:spacing w:after="0" w:line="360" w:lineRule="auto"/>
        <w:ind w:left="420" w:firstLine="0" w:firstLineChars="0"/>
        <w:jc w:val="left"/>
        <w:rPr>
          <w:rFonts w:hint="eastAsia" w:cs="宋体" w:asciiTheme="minorEastAsia" w:hAnsiTheme="minorEastAsia"/>
          <w:b/>
          <w:bCs/>
          <w:szCs w:val="21"/>
        </w:rPr>
      </w:pPr>
      <w:r>
        <w:rPr>
          <w:rFonts w:hint="eastAsia" w:ascii="宋体" w:hAnsi="宋体" w:eastAsia="宋体"/>
          <w:b/>
          <w:bCs/>
        </w:rPr>
        <w:t>参与项目的供应商报价超过最高限价或低于最低限价或超过项目对应产品单项最高限价的视为无效报价</w:t>
      </w:r>
      <w:r>
        <w:rPr>
          <w:rFonts w:hint="eastAsia" w:cs="宋体" w:asciiTheme="minorEastAsia" w:hAnsiTheme="minorEastAsia"/>
          <w:b/>
          <w:bCs/>
          <w:szCs w:val="21"/>
        </w:rPr>
        <w:t>。</w:t>
      </w:r>
    </w:p>
    <w:p>
      <w:pPr>
        <w:pStyle w:val="110"/>
        <w:numPr>
          <w:ilvl w:val="0"/>
          <w:numId w:val="9"/>
        </w:numPr>
        <w:spacing w:after="0" w:line="360" w:lineRule="auto"/>
        <w:ind w:left="420" w:firstLine="0" w:firstLineChars="0"/>
        <w:jc w:val="left"/>
        <w:rPr>
          <w:rFonts w:hint="eastAsia" w:cs="宋体" w:asciiTheme="minorEastAsia" w:hAnsiTheme="minorEastAsia"/>
          <w:szCs w:val="21"/>
        </w:rPr>
      </w:pPr>
      <w:r>
        <w:rPr>
          <w:rFonts w:hint="eastAsia" w:cs="宋体" w:asciiTheme="minorEastAsia" w:hAnsiTheme="minorEastAsia"/>
          <w:szCs w:val="21"/>
        </w:rPr>
        <w:t>参与项目的供应商报价超过最高限价或超过项目对应产品单项最高限价的视为无效报价。</w:t>
      </w:r>
    </w:p>
    <w:p>
      <w:pPr>
        <w:widowControl/>
        <w:numPr>
          <w:ilvl w:val="0"/>
          <w:numId w:val="9"/>
        </w:numPr>
        <w:spacing w:after="0" w:line="360" w:lineRule="auto"/>
        <w:ind w:left="420" w:firstLine="0"/>
        <w:jc w:val="left"/>
        <w:rPr>
          <w:rFonts w:hint="eastAsia" w:asciiTheme="minorEastAsia" w:hAnsiTheme="minorEastAsia"/>
          <w:szCs w:val="21"/>
        </w:rPr>
      </w:pPr>
      <w:r>
        <w:rPr>
          <w:rFonts w:hint="eastAsia" w:cs="宋体" w:asciiTheme="minorEastAsia" w:hAnsiTheme="minorEastAsia"/>
          <w:szCs w:val="21"/>
        </w:rPr>
        <w:t>参与项目的供应商须提供本项目要求的资质文件，如果不按公告规定或项目文件要求等相关规定提供符合要求的资质文件，将被视为无效报价。</w:t>
      </w:r>
    </w:p>
    <w:p>
      <w:pPr>
        <w:widowControl/>
        <w:numPr>
          <w:ilvl w:val="0"/>
          <w:numId w:val="9"/>
        </w:numPr>
        <w:spacing w:after="0" w:line="360" w:lineRule="auto"/>
        <w:ind w:left="420" w:firstLine="0"/>
        <w:jc w:val="left"/>
        <w:rPr>
          <w:rFonts w:hint="eastAsia" w:asciiTheme="minorEastAsia" w:hAnsiTheme="minorEastAsia"/>
          <w:szCs w:val="21"/>
        </w:rPr>
      </w:pPr>
      <w:r>
        <w:rPr>
          <w:rFonts w:hint="eastAsia" w:cs="宋体" w:asciiTheme="minorEastAsia" w:hAnsiTheme="minorEastAsia"/>
          <w:szCs w:val="21"/>
        </w:rPr>
        <w:t>参与项目的供应商须对本项目采购内容进行整体报价，任何只对其中一部分内容进行的报价都被视为无效报价。</w:t>
      </w:r>
    </w:p>
    <w:p>
      <w:pPr>
        <w:pStyle w:val="66"/>
        <w:numPr>
          <w:ilvl w:val="0"/>
          <w:numId w:val="9"/>
        </w:numPr>
        <w:spacing w:after="0" w:line="360" w:lineRule="auto"/>
        <w:ind w:left="420" w:firstLine="0" w:firstLineChars="0"/>
        <w:jc w:val="left"/>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kern w:val="0"/>
          <w:szCs w:val="21"/>
        </w:rPr>
        <w:t>报价表以及有报价供应商落款的报价文件必</w:t>
      </w:r>
      <w:r>
        <w:rPr>
          <w:rFonts w:hint="eastAsia" w:cs="宋体" w:asciiTheme="minorEastAsia" w:hAnsiTheme="minorEastAsia" w:eastAsiaTheme="minorEastAsia"/>
          <w:color w:val="000000" w:themeColor="text1"/>
          <w:kern w:val="0"/>
          <w:szCs w:val="21"/>
          <w14:textFill>
            <w14:solidFill>
              <w14:schemeClr w14:val="tx1"/>
            </w14:solidFill>
          </w14:textFill>
        </w:rPr>
        <w:t>须加盖响应供应商公章，否则视为无效报价。</w:t>
      </w:r>
    </w:p>
    <w:p>
      <w:pPr>
        <w:pStyle w:val="111"/>
        <w:numPr>
          <w:ilvl w:val="0"/>
          <w:numId w:val="9"/>
        </w:numPr>
        <w:spacing w:after="0" w:line="360" w:lineRule="auto"/>
        <w:ind w:left="420" w:firstLine="0" w:firstLineChars="0"/>
        <w:jc w:val="left"/>
        <w:rPr>
          <w:rFonts w:hint="eastAsia" w:cs="宋体" w:asciiTheme="minorEastAsia" w:hAnsiTheme="minorEastAsia"/>
          <w:kern w:val="0"/>
          <w:szCs w:val="21"/>
        </w:rPr>
      </w:pPr>
      <w:r>
        <w:rPr>
          <w:rFonts w:hint="eastAsia" w:cs="宋体" w:asciiTheme="minorEastAsia" w:hAnsiTheme="minorEastAsia"/>
          <w:color w:val="000000" w:themeColor="text1"/>
          <w:kern w:val="0"/>
          <w:szCs w:val="21"/>
          <w14:textFill>
            <w14:solidFill>
              <w14:schemeClr w14:val="tx1"/>
            </w14:solidFill>
          </w14:textFill>
        </w:rPr>
        <w:t>大写金额和小写金额不一致的，以大写金额为准；单价金额小数点</w:t>
      </w:r>
      <w:r>
        <w:rPr>
          <w:rFonts w:hint="eastAsia" w:cs="宋体" w:asciiTheme="minorEastAsia" w:hAnsiTheme="minorEastAsia"/>
          <w:kern w:val="0"/>
          <w:szCs w:val="21"/>
        </w:rPr>
        <w:t>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66"/>
        <w:numPr>
          <w:ilvl w:val="0"/>
          <w:numId w:val="9"/>
        </w:numPr>
        <w:spacing w:after="0" w:line="360" w:lineRule="auto"/>
        <w:ind w:firstLineChars="0"/>
        <w:rPr>
          <w:rFonts w:hint="eastAsia"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按有关法律、法规、规章属于报价无效的。</w:t>
      </w:r>
    </w:p>
    <w:p>
      <w:pPr>
        <w:widowControl/>
        <w:numPr>
          <w:ilvl w:val="0"/>
          <w:numId w:val="9"/>
        </w:numPr>
        <w:shd w:val="clear" w:color="auto" w:fill="FFFFFF"/>
        <w:spacing w:after="0" w:line="360" w:lineRule="auto"/>
        <w:jc w:val="left"/>
        <w:rPr>
          <w:rFonts w:hint="eastAsia" w:asciiTheme="minorEastAsia" w:hAnsiTheme="minorEastAsia"/>
          <w:kern w:val="0"/>
          <w:szCs w:val="21"/>
        </w:rPr>
      </w:pPr>
      <w:r>
        <w:rPr>
          <w:rFonts w:hint="eastAsia" w:cs="宋体" w:asciiTheme="minorEastAsia" w:hAnsiTheme="minorEastAsia"/>
          <w:b/>
          <w:bCs/>
          <w:kern w:val="0"/>
          <w:szCs w:val="21"/>
        </w:rPr>
        <w:t>有下列情形之一的，视为串通响应，其报价无效：</w:t>
      </w:r>
    </w:p>
    <w:p>
      <w:pPr>
        <w:widowControl/>
        <w:numPr>
          <w:ilvl w:val="2"/>
          <w:numId w:val="10"/>
        </w:numPr>
        <w:spacing w:after="0" w:line="360" w:lineRule="auto"/>
        <w:jc w:val="left"/>
        <w:rPr>
          <w:rFonts w:hint="eastAsia" w:asciiTheme="minorEastAsia" w:hAnsiTheme="minorEastAsia"/>
          <w:szCs w:val="21"/>
        </w:rPr>
      </w:pPr>
      <w:r>
        <w:rPr>
          <w:rFonts w:hint="eastAsia" w:asciiTheme="minorEastAsia" w:hAnsiTheme="minorEastAsia"/>
          <w:szCs w:val="21"/>
        </w:rPr>
        <w:t>存在单位负责人为同一人或存在控股、管理关系的不同单位参与同一项目；</w:t>
      </w:r>
    </w:p>
    <w:p>
      <w:pPr>
        <w:widowControl/>
        <w:numPr>
          <w:ilvl w:val="2"/>
          <w:numId w:val="10"/>
        </w:numPr>
        <w:spacing w:after="0" w:line="360" w:lineRule="auto"/>
        <w:jc w:val="left"/>
        <w:rPr>
          <w:rFonts w:hint="eastAsia" w:asciiTheme="minorEastAsia" w:hAnsiTheme="minorEastAsia"/>
          <w:szCs w:val="21"/>
        </w:rPr>
      </w:pPr>
      <w:r>
        <w:rPr>
          <w:rFonts w:hint="eastAsia" w:cs="宋体" w:asciiTheme="minorEastAsia" w:hAnsiTheme="minorEastAsia"/>
          <w:szCs w:val="21"/>
        </w:rPr>
        <w:t>不同供应商的响应文件由同一单位或者个人编制；</w:t>
      </w:r>
    </w:p>
    <w:p>
      <w:pPr>
        <w:widowControl/>
        <w:numPr>
          <w:ilvl w:val="2"/>
          <w:numId w:val="10"/>
        </w:numPr>
        <w:spacing w:after="0" w:line="360" w:lineRule="auto"/>
        <w:jc w:val="left"/>
        <w:rPr>
          <w:rFonts w:hint="eastAsia" w:asciiTheme="minorEastAsia" w:hAnsiTheme="minorEastAsia"/>
          <w:szCs w:val="21"/>
        </w:rPr>
      </w:pPr>
      <w:r>
        <w:rPr>
          <w:rFonts w:hint="eastAsia" w:cs="宋体" w:asciiTheme="minorEastAsia" w:hAnsiTheme="minorEastAsia"/>
          <w:szCs w:val="21"/>
        </w:rPr>
        <w:t>不同供应商委托同一单位或者个人办理项目事宜；</w:t>
      </w:r>
    </w:p>
    <w:p>
      <w:pPr>
        <w:widowControl/>
        <w:numPr>
          <w:ilvl w:val="2"/>
          <w:numId w:val="10"/>
        </w:numPr>
        <w:spacing w:after="0" w:line="360" w:lineRule="auto"/>
        <w:jc w:val="left"/>
        <w:rPr>
          <w:rFonts w:hint="eastAsia" w:asciiTheme="minorEastAsia" w:hAnsiTheme="minorEastAsia"/>
          <w:b/>
          <w:bCs/>
          <w:szCs w:val="21"/>
          <w:u w:val="double"/>
        </w:rPr>
      </w:pPr>
      <w:r>
        <w:rPr>
          <w:rFonts w:hint="eastAsia" w:cs="宋体" w:asciiTheme="minorEastAsia" w:hAnsiTheme="minorEastAsia"/>
          <w:b/>
          <w:bCs/>
          <w:szCs w:val="21"/>
          <w:u w:val="double"/>
        </w:rPr>
        <w:t>不同供应商使用同一</w:t>
      </w:r>
      <w:r>
        <w:rPr>
          <w:rFonts w:cs="宋体" w:asciiTheme="minorEastAsia" w:hAnsiTheme="minorEastAsia"/>
          <w:b/>
          <w:bCs/>
          <w:szCs w:val="21"/>
          <w:u w:val="double"/>
        </w:rPr>
        <w:t>IP</w:t>
      </w:r>
      <w:r>
        <w:rPr>
          <w:rFonts w:hint="eastAsia" w:cs="宋体" w:asciiTheme="minorEastAsia" w:hAnsiTheme="minorEastAsia"/>
          <w:b/>
          <w:bCs/>
          <w:szCs w:val="21"/>
          <w:u w:val="double"/>
        </w:rPr>
        <w:t>地址参与项目；</w:t>
      </w:r>
    </w:p>
    <w:p>
      <w:pPr>
        <w:widowControl/>
        <w:numPr>
          <w:ilvl w:val="2"/>
          <w:numId w:val="10"/>
        </w:numPr>
        <w:spacing w:after="0" w:line="360" w:lineRule="auto"/>
        <w:jc w:val="left"/>
        <w:rPr>
          <w:rFonts w:hint="eastAsia" w:asciiTheme="minorEastAsia" w:hAnsiTheme="minorEastAsia"/>
          <w:szCs w:val="21"/>
        </w:rPr>
      </w:pPr>
      <w:r>
        <w:rPr>
          <w:rFonts w:hint="eastAsia" w:cs="宋体" w:asciiTheme="minorEastAsia" w:hAnsiTheme="minorEastAsia"/>
          <w:szCs w:val="21"/>
        </w:rPr>
        <w:t>不同供应商的响应文件载明的项目管理成员或者联系人员为同一人；</w:t>
      </w:r>
    </w:p>
    <w:p>
      <w:pPr>
        <w:widowControl/>
        <w:numPr>
          <w:ilvl w:val="2"/>
          <w:numId w:val="10"/>
        </w:numPr>
        <w:spacing w:after="0" w:line="360" w:lineRule="auto"/>
        <w:jc w:val="left"/>
        <w:rPr>
          <w:rFonts w:hint="eastAsia" w:asciiTheme="minorEastAsia" w:hAnsiTheme="minorEastAsia"/>
          <w:szCs w:val="21"/>
        </w:rPr>
      </w:pPr>
      <w:r>
        <w:rPr>
          <w:rFonts w:hint="eastAsia" w:cs="宋体" w:asciiTheme="minorEastAsia" w:hAnsiTheme="minorEastAsia"/>
          <w:szCs w:val="21"/>
        </w:rPr>
        <w:t>不同供应商的响应文件异常一致或者报价呈规律性差异；</w:t>
      </w:r>
    </w:p>
    <w:p>
      <w:pPr>
        <w:widowControl/>
        <w:numPr>
          <w:ilvl w:val="2"/>
          <w:numId w:val="10"/>
        </w:numPr>
        <w:spacing w:after="0" w:line="360" w:lineRule="auto"/>
        <w:jc w:val="left"/>
        <w:rPr>
          <w:rFonts w:hint="eastAsia" w:asciiTheme="minorEastAsia" w:hAnsiTheme="minorEastAsia"/>
          <w:szCs w:val="21"/>
        </w:rPr>
      </w:pPr>
      <w:r>
        <w:rPr>
          <w:rFonts w:hint="eastAsia" w:cs="宋体" w:asciiTheme="minorEastAsia" w:hAnsiTheme="minorEastAsia"/>
          <w:szCs w:val="21"/>
        </w:rPr>
        <w:t>不同供应商的响应文件相互混淆；</w:t>
      </w:r>
    </w:p>
    <w:p>
      <w:pPr>
        <w:widowControl/>
        <w:numPr>
          <w:ilvl w:val="2"/>
          <w:numId w:val="10"/>
        </w:numPr>
        <w:spacing w:after="0" w:line="360" w:lineRule="auto"/>
        <w:jc w:val="left"/>
        <w:rPr>
          <w:rFonts w:hint="eastAsia" w:asciiTheme="minorEastAsia" w:hAnsiTheme="minorEastAsia"/>
          <w:szCs w:val="21"/>
        </w:rPr>
      </w:pPr>
      <w:r>
        <w:rPr>
          <w:rFonts w:hint="eastAsia" w:cs="宋体" w:asciiTheme="minorEastAsia" w:hAnsiTheme="minorEastAsia"/>
          <w:szCs w:val="21"/>
        </w:rPr>
        <w:t>不同供应商的保障金/保证金从同一单位或者个人的账户转出；</w:t>
      </w:r>
    </w:p>
    <w:p>
      <w:pPr>
        <w:widowControl/>
        <w:numPr>
          <w:ilvl w:val="0"/>
          <w:numId w:val="3"/>
        </w:numPr>
        <w:spacing w:after="0" w:line="360" w:lineRule="auto"/>
        <w:jc w:val="left"/>
        <w:rPr>
          <w:rFonts w:hint="eastAsia" w:asciiTheme="minorEastAsia" w:hAnsiTheme="minorEastAsia"/>
          <w:szCs w:val="21"/>
        </w:rPr>
      </w:pPr>
      <w:r>
        <w:rPr>
          <w:rFonts w:hint="eastAsia" w:cs="宋体" w:asciiTheme="minorEastAsia" w:hAnsiTheme="minorEastAsia"/>
          <w:b/>
          <w:bCs/>
          <w:szCs w:val="21"/>
        </w:rPr>
        <w:t>失败情形</w:t>
      </w:r>
    </w:p>
    <w:p>
      <w:pPr>
        <w:widowControl/>
        <w:numPr>
          <w:ilvl w:val="255"/>
          <w:numId w:val="0"/>
        </w:numPr>
        <w:spacing w:after="0" w:line="360" w:lineRule="auto"/>
        <w:ind w:left="420"/>
        <w:jc w:val="left"/>
        <w:rPr>
          <w:rFonts w:hint="eastAsia" w:cs="宋体" w:asciiTheme="minorEastAsia" w:hAnsiTheme="minorEastAsia"/>
          <w:szCs w:val="21"/>
        </w:rPr>
      </w:pPr>
      <w:r>
        <w:rPr>
          <w:rFonts w:hint="eastAsia" w:cs="宋体" w:asciiTheme="minorEastAsia" w:hAnsiTheme="minorEastAsia"/>
          <w:szCs w:val="21"/>
        </w:rPr>
        <w:t>1.有效报价供应商不足3家，本次零散采购活动失败。</w:t>
      </w:r>
    </w:p>
    <w:p>
      <w:pPr>
        <w:widowControl/>
        <w:numPr>
          <w:ilvl w:val="255"/>
          <w:numId w:val="0"/>
        </w:numPr>
        <w:spacing w:after="0" w:line="360" w:lineRule="auto"/>
        <w:ind w:left="420"/>
        <w:jc w:val="left"/>
        <w:rPr>
          <w:rFonts w:hint="eastAsia" w:cs="宋体" w:asciiTheme="minorEastAsia" w:hAnsiTheme="minorEastAsia"/>
          <w:szCs w:val="21"/>
        </w:rPr>
      </w:pPr>
      <w:r>
        <w:rPr>
          <w:rFonts w:hint="eastAsia" w:cs="宋体" w:asciiTheme="minorEastAsia" w:hAnsiTheme="minorEastAsia"/>
          <w:szCs w:val="21"/>
        </w:rPr>
        <w:t>2.出现影响采购公正的违法、违规行为的。</w:t>
      </w:r>
    </w:p>
    <w:p>
      <w:pPr>
        <w:widowControl/>
        <w:numPr>
          <w:ilvl w:val="255"/>
          <w:numId w:val="0"/>
        </w:numPr>
        <w:spacing w:after="0" w:line="360" w:lineRule="auto"/>
        <w:ind w:left="420"/>
        <w:jc w:val="left"/>
        <w:rPr>
          <w:rFonts w:hint="eastAsia" w:cs="宋体" w:asciiTheme="minorEastAsia" w:hAnsiTheme="minorEastAsia"/>
          <w:szCs w:val="21"/>
        </w:rPr>
      </w:pPr>
      <w:r>
        <w:rPr>
          <w:rFonts w:hint="eastAsia" w:cs="宋体" w:asciiTheme="minorEastAsia" w:hAnsiTheme="minorEastAsia"/>
          <w:szCs w:val="21"/>
        </w:rPr>
        <w:t>3.因重大变故，采购任务取消的。</w:t>
      </w:r>
    </w:p>
    <w:p>
      <w:pPr>
        <w:widowControl/>
        <w:numPr>
          <w:ilvl w:val="0"/>
          <w:numId w:val="3"/>
        </w:numPr>
        <w:spacing w:after="0" w:line="360" w:lineRule="auto"/>
        <w:jc w:val="left"/>
        <w:rPr>
          <w:rFonts w:hint="eastAsia" w:asciiTheme="minorEastAsia" w:hAnsiTheme="minorEastAsia"/>
          <w:b/>
          <w:bCs/>
          <w:szCs w:val="21"/>
        </w:rPr>
      </w:pPr>
      <w:r>
        <w:rPr>
          <w:rFonts w:hint="eastAsia" w:cs="宋体" w:asciiTheme="minorEastAsia" w:hAnsiTheme="minorEastAsia"/>
          <w:b/>
          <w:bCs/>
          <w:szCs w:val="21"/>
        </w:rPr>
        <w:t>平台使用费</w:t>
      </w:r>
    </w:p>
    <w:p>
      <w:pPr>
        <w:pStyle w:val="66"/>
        <w:numPr>
          <w:ilvl w:val="0"/>
          <w:numId w:val="11"/>
        </w:numPr>
        <w:spacing w:after="0" w:line="360" w:lineRule="auto"/>
        <w:ind w:left="420" w:firstLine="0" w:firstLineChars="0"/>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成交供应商须向平台服务商云采链线上采购一体化平台缴纳平台使用费，金额为成交金额的1%（四舍五入取整数），</w:t>
      </w:r>
      <w:r>
        <w:rPr>
          <w:rFonts w:hint="eastAsia" w:cs="宋体" w:asciiTheme="minorEastAsia" w:hAnsiTheme="minorEastAsia" w:eastAsiaTheme="minorEastAsia"/>
          <w:szCs w:val="21"/>
        </w:rPr>
        <w:t>不足300元收300元。</w:t>
      </w:r>
    </w:p>
    <w:p>
      <w:pPr>
        <w:widowControl/>
        <w:numPr>
          <w:ilvl w:val="0"/>
          <w:numId w:val="11"/>
        </w:numPr>
        <w:autoSpaceDE w:val="0"/>
        <w:autoSpaceDN w:val="0"/>
        <w:adjustRightInd w:val="0"/>
        <w:spacing w:after="0" w:line="360" w:lineRule="auto"/>
        <w:ind w:left="420" w:firstLine="0"/>
        <w:jc w:val="left"/>
        <w:rPr>
          <w:rFonts w:hint="eastAsia" w:asciiTheme="minorEastAsia" w:hAnsiTheme="minorEastAsia"/>
          <w:kern w:val="0"/>
          <w:szCs w:val="21"/>
        </w:rPr>
      </w:pPr>
      <w:r>
        <w:rPr>
          <w:rFonts w:hint="eastAsia" w:asciiTheme="minorEastAsia" w:hAnsiTheme="minorEastAsia"/>
          <w:kern w:val="0"/>
          <w:szCs w:val="21"/>
        </w:rPr>
        <w:t>成交供应商无正当理由放弃成交资格的必须按项目公告等相关规定缴纳相应的平台使用费。</w:t>
      </w:r>
    </w:p>
    <w:p>
      <w:pPr>
        <w:widowControl/>
        <w:numPr>
          <w:ilvl w:val="0"/>
          <w:numId w:val="11"/>
        </w:numPr>
        <w:autoSpaceDE w:val="0"/>
        <w:autoSpaceDN w:val="0"/>
        <w:adjustRightInd w:val="0"/>
        <w:spacing w:after="0" w:line="360" w:lineRule="auto"/>
        <w:ind w:left="420" w:firstLine="0"/>
        <w:jc w:val="left"/>
        <w:rPr>
          <w:rFonts w:hint="eastAsia" w:asciiTheme="minorEastAsia" w:hAnsiTheme="minorEastAsia"/>
          <w:kern w:val="0"/>
          <w:szCs w:val="21"/>
        </w:rPr>
      </w:pPr>
      <w:r>
        <w:rPr>
          <w:rFonts w:hint="eastAsia" w:asciiTheme="minorEastAsia" w:hAnsiTheme="minorEastAsia"/>
          <w:kern w:val="0"/>
          <w:szCs w:val="21"/>
        </w:rPr>
        <w:t>如确实因不可抗力放弃成交资格的，应在不可抗力发生后三个工作日内予以通知采购代理机构并提供相关的证明；如逾期，采购代理机构不予退还平台使用费。</w:t>
      </w:r>
    </w:p>
    <w:p>
      <w:pPr>
        <w:widowControl/>
        <w:numPr>
          <w:ilvl w:val="0"/>
          <w:numId w:val="3"/>
        </w:numPr>
        <w:spacing w:after="0" w:line="360" w:lineRule="auto"/>
        <w:jc w:val="left"/>
        <w:rPr>
          <w:rFonts w:hint="eastAsia" w:asciiTheme="minorEastAsia" w:hAnsiTheme="minorEastAsia"/>
          <w:b/>
          <w:bCs/>
          <w:szCs w:val="21"/>
        </w:rPr>
      </w:pPr>
      <w:r>
        <w:rPr>
          <w:rFonts w:hint="eastAsia" w:cs="宋体" w:asciiTheme="minorEastAsia" w:hAnsiTheme="minorEastAsia"/>
          <w:b/>
          <w:bCs/>
          <w:szCs w:val="21"/>
        </w:rPr>
        <w:t>联系方式</w:t>
      </w:r>
    </w:p>
    <w:p>
      <w:pPr>
        <w:widowControl/>
        <w:spacing w:after="0" w:line="360" w:lineRule="auto"/>
        <w:ind w:left="420"/>
        <w:jc w:val="left"/>
        <w:rPr>
          <w:rFonts w:hint="eastAsia" w:asciiTheme="minorEastAsia" w:hAnsiTheme="minorEastAsia"/>
          <w:color w:val="000000" w:themeColor="text1"/>
          <w:szCs w:val="21"/>
          <w14:textFill>
            <w14:solidFill>
              <w14:schemeClr w14:val="tx1"/>
            </w14:solidFill>
          </w14:textFill>
        </w:rPr>
      </w:pPr>
      <w:r>
        <w:rPr>
          <w:rFonts w:hint="eastAsia" w:cs="宋体" w:asciiTheme="minorEastAsia" w:hAnsiTheme="minorEastAsia"/>
          <w:szCs w:val="21"/>
        </w:rPr>
        <w:t>扫码关注微信公众号</w:t>
      </w:r>
      <w:r>
        <w:rPr>
          <w:rFonts w:asciiTheme="minorEastAsia" w:hAnsiTheme="minorEastAsia"/>
          <w:szCs w:val="21"/>
        </w:rPr>
        <w:t>“</w:t>
      </w:r>
      <w:r>
        <w:rPr>
          <w:rFonts w:hint="eastAsia" w:cs="宋体" w:asciiTheme="minorEastAsia" w:hAnsiTheme="minorEastAsia"/>
          <w:szCs w:val="21"/>
        </w:rPr>
        <w:t>云采链互联服务平台</w:t>
      </w:r>
      <w:r>
        <w:rPr>
          <w:rFonts w:asciiTheme="minorEastAsia" w:hAnsiTheme="minorEastAsia"/>
          <w:szCs w:val="21"/>
        </w:rPr>
        <w:t>”</w:t>
      </w:r>
      <w:r>
        <w:rPr>
          <w:rFonts w:hint="eastAsia" w:cs="宋体" w:asciiTheme="minorEastAsia" w:hAnsiTheme="minorEastAsia"/>
          <w:szCs w:val="21"/>
        </w:rPr>
        <w:t>，即可在线咨询相关事项。</w:t>
      </w:r>
    </w:p>
    <w:p>
      <w:pPr>
        <w:pStyle w:val="34"/>
        <w:widowControl/>
        <w:spacing w:line="360" w:lineRule="auto"/>
        <w:ind w:left="420" w:firstLine="0" w:firstLineChars="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snapToGrid w:val="0"/>
        <w:spacing w:line="360" w:lineRule="auto"/>
        <w:jc w:val="center"/>
        <w:outlineLvl w:val="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用户需求书</w:t>
      </w:r>
    </w:p>
    <w:p>
      <w:pPr>
        <w:snapToGrid w:val="0"/>
        <w:spacing w:line="360" w:lineRule="auto"/>
        <w:ind w:left="517" w:hanging="517" w:hangingChars="245"/>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pPr>
        <w:snapToGrid w:val="0"/>
        <w:spacing w:after="0" w:line="360" w:lineRule="auto"/>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pPr>
        <w:pStyle w:val="12"/>
        <w:numPr>
          <w:ilvl w:val="0"/>
          <w:numId w:val="12"/>
        </w:numPr>
        <w:tabs>
          <w:tab w:val="left" w:pos="540"/>
        </w:tabs>
        <w:adjustRightInd w:val="0"/>
        <w:snapToGrid w:val="0"/>
        <w:spacing w:before="156" w:beforeLines="50" w:after="156" w:afterLines="50" w:line="360" w:lineRule="auto"/>
        <w:outlineLvl w:val="1"/>
        <w:rPr>
          <w:rFonts w:hint="eastAsia" w:hAnsi="宋体" w:cs="宋体"/>
          <w:b/>
          <w:bCs/>
          <w:sz w:val="21"/>
        </w:rPr>
      </w:pPr>
      <w:r>
        <w:rPr>
          <w:rFonts w:hint="eastAsia" w:hAnsi="宋体" w:cs="宋体"/>
          <w:b/>
          <w:bCs/>
          <w:sz w:val="21"/>
        </w:rPr>
        <w:t>项目简介</w:t>
      </w:r>
    </w:p>
    <w:p>
      <w:pPr>
        <w:pStyle w:val="12"/>
        <w:tabs>
          <w:tab w:val="left" w:pos="540"/>
        </w:tabs>
        <w:adjustRightInd w:val="0"/>
        <w:snapToGrid w:val="0"/>
        <w:spacing w:before="156" w:beforeLines="50" w:after="156" w:afterLines="50" w:line="360" w:lineRule="auto"/>
        <w:outlineLvl w:val="1"/>
        <w:rPr>
          <w:rFonts w:hint="eastAsia" w:hAnsi="宋体" w:cs="仿宋_GB2312"/>
          <w:kern w:val="2"/>
          <w:sz w:val="21"/>
        </w:rPr>
      </w:pPr>
      <w:r>
        <w:rPr>
          <w:rFonts w:hint="eastAsia" w:hAnsi="宋体" w:cs="仿宋_GB2312"/>
          <w:kern w:val="2"/>
          <w:sz w:val="21"/>
        </w:rPr>
        <w:t>（一）工程名称：广东省广裕集团清远滨江实业有限公司部分厂房负压风机采购及安装承揽项目</w:t>
      </w:r>
      <w:r>
        <w:rPr>
          <w:rFonts w:hint="eastAsia" w:hAnsi="宋体" w:cs="仿宋_GB2312"/>
          <w:kern w:val="2"/>
          <w:sz w:val="21"/>
          <w:lang w:eastAsia="zh-CN"/>
        </w:rPr>
        <w:t>（</w:t>
      </w:r>
      <w:r>
        <w:rPr>
          <w:rFonts w:hint="eastAsia" w:hAnsi="宋体" w:cs="仿宋_GB2312"/>
          <w:kern w:val="2"/>
          <w:sz w:val="21"/>
          <w:lang w:val="en-US" w:eastAsia="zh-CN"/>
        </w:rPr>
        <w:t>第二次）</w:t>
      </w:r>
      <w:r>
        <w:rPr>
          <w:rFonts w:hint="eastAsia" w:hAnsi="宋体" w:cs="仿宋_GB2312"/>
          <w:kern w:val="2"/>
          <w:sz w:val="21"/>
        </w:rPr>
        <w:t>。</w:t>
      </w:r>
    </w:p>
    <w:p>
      <w:pPr>
        <w:pStyle w:val="12"/>
        <w:tabs>
          <w:tab w:val="left" w:pos="540"/>
        </w:tabs>
        <w:adjustRightInd w:val="0"/>
        <w:snapToGrid w:val="0"/>
        <w:spacing w:before="156" w:beforeLines="50" w:after="156" w:afterLines="50" w:line="360" w:lineRule="auto"/>
        <w:outlineLvl w:val="1"/>
        <w:rPr>
          <w:rFonts w:hint="eastAsia" w:hAnsi="宋体" w:cs="仿宋_GB2312"/>
          <w:kern w:val="2"/>
          <w:sz w:val="21"/>
        </w:rPr>
      </w:pPr>
      <w:r>
        <w:rPr>
          <w:rFonts w:hint="eastAsia" w:hAnsi="宋体" w:cs="仿宋_GB2312"/>
          <w:kern w:val="2"/>
          <w:sz w:val="21"/>
        </w:rPr>
        <w:t>（二）最高限价：198523.14元（大写人民币壹拾玖万捌仟伍佰贰拾叁元壹角肆分，含税）其中不可竞争费用绿色施工安全防护措施费为人民币17752.10元。注：不得擅自改动工程量清单的不可竞争费用绿色拆装安全防护措施费，否则视为无效报价；报价时需按工程量清单（另册）的参考品牌进行报价。</w:t>
      </w:r>
    </w:p>
    <w:p>
      <w:pPr>
        <w:pStyle w:val="12"/>
        <w:tabs>
          <w:tab w:val="left" w:pos="540"/>
        </w:tabs>
        <w:adjustRightInd w:val="0"/>
        <w:snapToGrid w:val="0"/>
        <w:spacing w:before="156" w:beforeLines="50" w:after="156" w:afterLines="50" w:line="360" w:lineRule="auto"/>
        <w:outlineLvl w:val="1"/>
        <w:rPr>
          <w:rFonts w:hint="eastAsia" w:hAnsi="宋体" w:cs="仿宋_GB2312"/>
          <w:kern w:val="2"/>
          <w:sz w:val="21"/>
        </w:rPr>
      </w:pPr>
      <w:r>
        <w:rPr>
          <w:rFonts w:hint="eastAsia" w:hAnsi="宋体" w:cs="仿宋_GB2312"/>
          <w:kern w:val="2"/>
          <w:sz w:val="21"/>
        </w:rPr>
        <w:t>（三）施工地点：广东省清远市清城区清三公路98号广东省清远监狱监管区内。</w:t>
      </w:r>
    </w:p>
    <w:p>
      <w:pPr>
        <w:pStyle w:val="12"/>
        <w:numPr>
          <w:ilvl w:val="0"/>
          <w:numId w:val="12"/>
        </w:numPr>
        <w:tabs>
          <w:tab w:val="left" w:pos="540"/>
        </w:tabs>
        <w:adjustRightInd w:val="0"/>
        <w:snapToGrid w:val="0"/>
        <w:spacing w:before="156" w:beforeLines="50" w:after="156" w:afterLines="50" w:line="360" w:lineRule="auto"/>
        <w:outlineLvl w:val="1"/>
        <w:rPr>
          <w:rFonts w:hint="eastAsia" w:hAnsi="宋体" w:cs="宋体"/>
          <w:b/>
          <w:bCs/>
          <w:sz w:val="21"/>
        </w:rPr>
      </w:pPr>
      <w:r>
        <w:rPr>
          <w:rFonts w:hint="eastAsia" w:hAnsi="宋体" w:cs="宋体"/>
          <w:b/>
          <w:bCs/>
          <w:sz w:val="21"/>
        </w:rPr>
        <w:t>报名时间及方式</w:t>
      </w:r>
    </w:p>
    <w:p>
      <w:pPr>
        <w:numPr>
          <w:ilvl w:val="0"/>
          <w:numId w:val="13"/>
        </w:numPr>
        <w:tabs>
          <w:tab w:val="left" w:pos="540"/>
        </w:tabs>
        <w:snapToGrid w:val="0"/>
        <w:spacing w:after="0" w:line="360" w:lineRule="auto"/>
        <w:ind w:left="0" w:firstLine="0"/>
        <w:jc w:val="left"/>
        <w:textAlignment w:val="baseline"/>
        <w:rPr>
          <w:rFonts w:hint="eastAsia" w:ascii="宋体" w:hAnsi="宋体" w:eastAsia="宋体" w:cs="宋体"/>
          <w:color w:val="000000"/>
          <w:szCs w:val="21"/>
        </w:rPr>
      </w:pPr>
      <w:r>
        <w:rPr>
          <w:rFonts w:hint="eastAsia" w:ascii="宋体" w:hAnsi="宋体" w:eastAsia="宋体" w:cs="宋体"/>
          <w:color w:val="000000"/>
          <w:szCs w:val="21"/>
        </w:rPr>
        <w:t>时间：</w:t>
      </w:r>
      <w:r>
        <w:rPr>
          <w:rFonts w:ascii="宋体" w:hAnsi="宋体" w:eastAsia="宋体" w:cs="宋体"/>
          <w:color w:val="000000"/>
          <w:szCs w:val="21"/>
        </w:rPr>
        <w:t>自平台公告之日起</w:t>
      </w:r>
      <w:r>
        <w:rPr>
          <w:rFonts w:hint="eastAsia" w:ascii="宋体" w:hAnsi="宋体" w:eastAsia="宋体" w:cs="宋体"/>
          <w:color w:val="000000"/>
          <w:szCs w:val="21"/>
        </w:rPr>
        <w:t>5</w:t>
      </w:r>
      <w:r>
        <w:rPr>
          <w:rFonts w:ascii="宋体" w:hAnsi="宋体" w:eastAsia="宋体" w:cs="宋体"/>
          <w:color w:val="000000"/>
          <w:szCs w:val="21"/>
        </w:rPr>
        <w:t>个工作日</w:t>
      </w:r>
      <w:r>
        <w:rPr>
          <w:rFonts w:hint="eastAsia" w:ascii="宋体" w:hAnsi="宋体" w:eastAsia="宋体" w:cs="宋体"/>
          <w:color w:val="000000"/>
          <w:szCs w:val="21"/>
        </w:rPr>
        <w:t>。</w:t>
      </w:r>
    </w:p>
    <w:p>
      <w:pPr>
        <w:numPr>
          <w:ilvl w:val="0"/>
          <w:numId w:val="13"/>
        </w:numPr>
        <w:tabs>
          <w:tab w:val="left" w:pos="540"/>
        </w:tabs>
        <w:snapToGrid w:val="0"/>
        <w:spacing w:after="0" w:line="360" w:lineRule="auto"/>
        <w:ind w:left="0" w:firstLine="0"/>
        <w:jc w:val="left"/>
        <w:textAlignment w:val="baseline"/>
        <w:rPr>
          <w:rFonts w:hint="eastAsia" w:ascii="宋体" w:hAnsi="宋体" w:eastAsia="宋体" w:cs="宋体"/>
          <w:color w:val="000000"/>
          <w:szCs w:val="21"/>
        </w:rPr>
      </w:pPr>
      <w:r>
        <w:rPr>
          <w:rFonts w:hint="eastAsia" w:ascii="宋体" w:hAnsi="宋体" w:eastAsia="宋体" w:cs="宋体"/>
          <w:color w:val="000000"/>
          <w:kern w:val="0"/>
          <w:szCs w:val="21"/>
          <w:lang w:bidi="ar"/>
        </w:rPr>
        <w:t>方式：请登录广东省广裕集团清远滨江实业有限公司云采链采购一体化平台注册后参与报名，获取详细采购信息，不接受现场报名。</w:t>
      </w:r>
    </w:p>
    <w:p>
      <w:pPr>
        <w:numPr>
          <w:ilvl w:val="0"/>
          <w:numId w:val="13"/>
        </w:numPr>
        <w:tabs>
          <w:tab w:val="left" w:pos="540"/>
        </w:tabs>
        <w:snapToGrid w:val="0"/>
        <w:spacing w:after="0" w:line="360" w:lineRule="auto"/>
        <w:ind w:left="0" w:firstLine="0"/>
        <w:jc w:val="left"/>
        <w:textAlignment w:val="baseline"/>
        <w:rPr>
          <w:rFonts w:hint="eastAsia" w:ascii="宋体" w:hAnsi="宋体" w:eastAsia="宋体" w:cs="宋体"/>
          <w:color w:val="000000"/>
          <w:szCs w:val="21"/>
        </w:rPr>
      </w:pPr>
      <w:r>
        <w:rPr>
          <w:rFonts w:hint="eastAsia" w:ascii="宋体" w:hAnsi="宋体" w:eastAsia="宋体" w:cs="宋体"/>
          <w:color w:val="000000"/>
          <w:kern w:val="0"/>
          <w:szCs w:val="21"/>
          <w:lang w:bidi="ar"/>
        </w:rPr>
        <w:t>交易平台网址：http://z.choicelink.cn/jy-qy/</w:t>
      </w:r>
    </w:p>
    <w:p>
      <w:pPr>
        <w:numPr>
          <w:ilvl w:val="0"/>
          <w:numId w:val="13"/>
        </w:numPr>
        <w:tabs>
          <w:tab w:val="left" w:pos="540"/>
        </w:tabs>
        <w:snapToGrid w:val="0"/>
        <w:spacing w:after="0" w:line="360" w:lineRule="auto"/>
        <w:ind w:left="0" w:firstLine="0"/>
        <w:jc w:val="left"/>
        <w:textAlignment w:val="baseline"/>
        <w:rPr>
          <w:rFonts w:hint="eastAsia" w:ascii="宋体" w:hAnsi="宋体" w:eastAsia="宋体" w:cs="宋体"/>
          <w:color w:val="000000"/>
          <w:szCs w:val="21"/>
        </w:rPr>
      </w:pPr>
      <w:r>
        <w:rPr>
          <w:rFonts w:hint="eastAsia" w:ascii="宋体" w:hAnsi="宋体" w:eastAsia="宋体" w:cs="宋体"/>
          <w:color w:val="000000"/>
          <w:kern w:val="0"/>
          <w:szCs w:val="21"/>
          <w:lang w:bidi="ar"/>
        </w:rPr>
        <w:t>供应商对交易平台有疑问，可咨询平台提供商：</w:t>
      </w:r>
    </w:p>
    <w:p>
      <w:pPr>
        <w:tabs>
          <w:tab w:val="left" w:pos="540"/>
        </w:tabs>
        <w:snapToGrid w:val="0"/>
        <w:spacing w:after="0" w:line="360" w:lineRule="auto"/>
        <w:textAlignment w:val="baseline"/>
        <w:rPr>
          <w:rFonts w:hint="eastAsia" w:ascii="宋体" w:hAnsi="宋体" w:eastAsia="宋体" w:cs="宋体"/>
          <w:color w:val="000000"/>
          <w:szCs w:val="21"/>
        </w:rPr>
      </w:pPr>
      <w:r>
        <w:rPr>
          <w:rFonts w:hint="eastAsia" w:ascii="宋体" w:hAnsi="宋体" w:eastAsia="宋体" w:cs="宋体"/>
          <w:color w:val="000000"/>
          <w:kern w:val="0"/>
          <w:szCs w:val="21"/>
          <w:lang w:bidi="ar"/>
        </w:rPr>
        <w:t>采联国际招标采购集团有限公司      联系人: 谢小姐020-87622828。</w:t>
      </w:r>
    </w:p>
    <w:p>
      <w:pPr>
        <w:pStyle w:val="12"/>
        <w:numPr>
          <w:ilvl w:val="0"/>
          <w:numId w:val="12"/>
        </w:numPr>
        <w:tabs>
          <w:tab w:val="left" w:pos="540"/>
        </w:tabs>
        <w:adjustRightInd w:val="0"/>
        <w:snapToGrid w:val="0"/>
        <w:spacing w:before="156" w:beforeLines="50" w:after="156" w:afterLines="50" w:line="360" w:lineRule="auto"/>
        <w:outlineLvl w:val="1"/>
        <w:rPr>
          <w:rFonts w:hint="eastAsia" w:hAnsi="宋体" w:cs="宋体"/>
          <w:b/>
          <w:bCs/>
          <w:sz w:val="21"/>
        </w:rPr>
      </w:pPr>
      <w:r>
        <w:rPr>
          <w:rFonts w:hint="eastAsia" w:hAnsi="宋体" w:cs="宋体"/>
          <w:b/>
          <w:bCs/>
          <w:sz w:val="21"/>
        </w:rPr>
        <w:t>零散采购须知</w:t>
      </w:r>
    </w:p>
    <w:p>
      <w:pPr>
        <w:numPr>
          <w:ilvl w:val="0"/>
          <w:numId w:val="14"/>
        </w:numPr>
        <w:tabs>
          <w:tab w:val="left" w:pos="540"/>
        </w:tabs>
        <w:snapToGrid w:val="0"/>
        <w:spacing w:after="0" w:line="360" w:lineRule="auto"/>
        <w:ind w:left="0" w:firstLine="0"/>
        <w:jc w:val="left"/>
        <w:textAlignment w:val="baseline"/>
        <w:rPr>
          <w:rFonts w:hint="eastAsia" w:ascii="宋体" w:hAnsi="宋体" w:cs="宋体"/>
          <w:color w:val="000000"/>
          <w:kern w:val="0"/>
          <w:lang w:bidi="ar"/>
        </w:rPr>
      </w:pPr>
      <w:r>
        <w:rPr>
          <w:rFonts w:hint="eastAsia" w:ascii="宋体" w:hAnsi="宋体" w:cs="宋体"/>
          <w:kern w:val="0"/>
          <w:lang w:bidi="ar"/>
        </w:rPr>
        <w:t>该项目通过零散采购选择供应商，报价最低的供应商为成交人</w:t>
      </w:r>
      <w:r>
        <w:rPr>
          <w:rFonts w:hint="eastAsia" w:ascii="宋体" w:hAnsi="宋体" w:cs="宋体"/>
          <w:color w:val="000000"/>
          <w:kern w:val="0"/>
          <w:lang w:bidi="ar"/>
        </w:rPr>
        <w:t>。</w:t>
      </w:r>
    </w:p>
    <w:p>
      <w:pPr>
        <w:numPr>
          <w:ilvl w:val="0"/>
          <w:numId w:val="14"/>
        </w:numPr>
        <w:tabs>
          <w:tab w:val="left" w:pos="540"/>
        </w:tabs>
        <w:snapToGrid w:val="0"/>
        <w:spacing w:after="0" w:line="360" w:lineRule="auto"/>
        <w:ind w:left="0" w:firstLine="0"/>
        <w:jc w:val="left"/>
        <w:textAlignment w:val="baseline"/>
        <w:rPr>
          <w:rFonts w:hint="eastAsia" w:ascii="宋体" w:hAnsi="宋体" w:cs="宋体"/>
          <w:color w:val="000000"/>
          <w:kern w:val="0"/>
          <w:lang w:bidi="ar"/>
        </w:rPr>
      </w:pPr>
      <w:r>
        <w:rPr>
          <w:rFonts w:hint="eastAsia" w:ascii="宋体" w:hAnsi="宋体" w:cs="宋体"/>
          <w:color w:val="000000"/>
          <w:kern w:val="0"/>
          <w:lang w:bidi="ar"/>
        </w:rPr>
        <w:t>该项目通过广东省清远监狱云采链采购一体化平台进行零散采购，供应商必须登录该平台进行注册，注册成功后方可对项目进行报名及报价。</w:t>
      </w:r>
    </w:p>
    <w:p>
      <w:pPr>
        <w:numPr>
          <w:ilvl w:val="0"/>
          <w:numId w:val="14"/>
        </w:numPr>
        <w:tabs>
          <w:tab w:val="left" w:pos="540"/>
        </w:tabs>
        <w:snapToGrid w:val="0"/>
        <w:spacing w:after="0" w:line="360" w:lineRule="auto"/>
        <w:ind w:left="0" w:firstLine="0"/>
        <w:jc w:val="left"/>
        <w:textAlignment w:val="baseline"/>
        <w:rPr>
          <w:rFonts w:hint="eastAsia" w:ascii="宋体" w:hAnsi="宋体" w:cs="宋体"/>
          <w:color w:val="000000"/>
          <w:kern w:val="0"/>
          <w:lang w:bidi="ar"/>
        </w:rPr>
      </w:pPr>
      <w:r>
        <w:rPr>
          <w:rFonts w:hint="eastAsia" w:ascii="宋体" w:hAnsi="宋体" w:cs="宋体"/>
          <w:color w:val="000000"/>
          <w:kern w:val="0"/>
          <w:lang w:bidi="ar"/>
        </w:rPr>
        <w:t>供应商根据零散采购公告要求，在满足项目需求的前提下，在规定时间内进行报价，并按要求上传报价文件。</w:t>
      </w:r>
    </w:p>
    <w:p>
      <w:pPr>
        <w:numPr>
          <w:ilvl w:val="0"/>
          <w:numId w:val="14"/>
        </w:numPr>
        <w:tabs>
          <w:tab w:val="left" w:pos="540"/>
        </w:tabs>
        <w:snapToGrid w:val="0"/>
        <w:spacing w:after="0" w:line="360" w:lineRule="auto"/>
        <w:ind w:left="0" w:firstLine="0"/>
        <w:jc w:val="left"/>
        <w:textAlignment w:val="baseline"/>
        <w:rPr>
          <w:rFonts w:hint="eastAsia" w:ascii="宋体" w:hAnsi="宋体" w:cs="宋体"/>
          <w:color w:val="000000"/>
          <w:kern w:val="0"/>
          <w:lang w:bidi="ar"/>
        </w:rPr>
      </w:pPr>
      <w:bookmarkStart w:id="0" w:name="_Hlk195622606"/>
      <w:r>
        <w:rPr>
          <w:rFonts w:hint="eastAsia" w:ascii="宋体" w:hAnsi="宋体" w:cs="宋体"/>
          <w:color w:val="000000"/>
          <w:kern w:val="0"/>
          <w:lang w:bidi="ar"/>
        </w:rPr>
        <w:t>如出现报价最低的供应商不符合零散采购公告要求情形的，则顺延推选报价次低的符合要求的供应商；若有效报价不足3家，本次零散采购失败</w:t>
      </w:r>
      <w:bookmarkEnd w:id="0"/>
      <w:r>
        <w:rPr>
          <w:rFonts w:hint="eastAsia" w:ascii="宋体" w:hAnsi="宋体" w:cs="宋体"/>
          <w:color w:val="000000"/>
          <w:kern w:val="0"/>
          <w:lang w:bidi="ar"/>
        </w:rPr>
        <w:t>。</w:t>
      </w:r>
    </w:p>
    <w:p>
      <w:pPr>
        <w:numPr>
          <w:ilvl w:val="0"/>
          <w:numId w:val="14"/>
        </w:numPr>
        <w:tabs>
          <w:tab w:val="left" w:pos="540"/>
        </w:tabs>
        <w:snapToGrid w:val="0"/>
        <w:spacing w:after="0" w:line="360" w:lineRule="auto"/>
        <w:ind w:left="0" w:firstLine="0"/>
        <w:jc w:val="left"/>
        <w:textAlignment w:val="baseline"/>
        <w:rPr>
          <w:rFonts w:hint="eastAsia" w:ascii="宋体" w:hAnsi="宋体" w:eastAsia="宋体" w:cs="宋体"/>
          <w:color w:val="000000"/>
          <w:szCs w:val="21"/>
        </w:rPr>
      </w:pPr>
      <w:r>
        <w:rPr>
          <w:rFonts w:hint="eastAsia" w:ascii="宋体" w:hAnsi="宋体" w:cs="宋体"/>
          <w:color w:val="000000"/>
          <w:kern w:val="0"/>
          <w:lang w:bidi="ar"/>
        </w:rPr>
        <w:t>成交供应商须向平台服务商云采链线上采购一体化平台缴纳平台使用费，金额为成交金额的1%（四舍五入取整数），不足300元收300元。</w:t>
      </w:r>
    </w:p>
    <w:p>
      <w:pPr>
        <w:pStyle w:val="12"/>
        <w:numPr>
          <w:ilvl w:val="0"/>
          <w:numId w:val="12"/>
        </w:numPr>
        <w:tabs>
          <w:tab w:val="left" w:pos="540"/>
        </w:tabs>
        <w:adjustRightInd w:val="0"/>
        <w:snapToGrid w:val="0"/>
        <w:spacing w:before="156" w:beforeLines="50" w:after="156" w:afterLines="50" w:line="360" w:lineRule="auto"/>
        <w:outlineLvl w:val="1"/>
        <w:rPr>
          <w:rFonts w:hint="eastAsia" w:hAnsi="宋体" w:cs="宋体"/>
          <w:b/>
          <w:bCs/>
          <w:sz w:val="21"/>
        </w:rPr>
      </w:pPr>
      <w:r>
        <w:rPr>
          <w:rFonts w:hint="eastAsia" w:hAnsi="宋体" w:cs="宋体"/>
          <w:b/>
          <w:bCs/>
          <w:sz w:val="21"/>
        </w:rPr>
        <w:t>项目一览表</w:t>
      </w:r>
    </w:p>
    <w:tbl>
      <w:tblPr>
        <w:tblStyle w:val="29"/>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03"/>
        <w:gridCol w:w="741"/>
        <w:gridCol w:w="1551"/>
        <w:gridCol w:w="30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3203" w:type="dxa"/>
            <w:tcBorders>
              <w:top w:val="single" w:color="auto" w:sz="12" w:space="0"/>
              <w:bottom w:val="single" w:color="auto" w:sz="2" w:space="0"/>
            </w:tcBorders>
            <w:shd w:val="clear" w:color="auto" w:fill="EEECE1"/>
            <w:vAlign w:val="center"/>
          </w:tcPr>
          <w:p>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采购内容</w:t>
            </w:r>
          </w:p>
        </w:tc>
        <w:tc>
          <w:tcPr>
            <w:tcW w:w="741" w:type="dxa"/>
            <w:tcBorders>
              <w:top w:val="single" w:color="auto" w:sz="12" w:space="0"/>
              <w:bottom w:val="single" w:color="auto" w:sz="2" w:space="0"/>
            </w:tcBorders>
            <w:shd w:val="clear" w:color="auto" w:fill="EEECE1"/>
            <w:vAlign w:val="center"/>
          </w:tcPr>
          <w:p>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数量</w:t>
            </w:r>
          </w:p>
        </w:tc>
        <w:tc>
          <w:tcPr>
            <w:tcW w:w="1551" w:type="dxa"/>
            <w:tcBorders>
              <w:top w:val="single" w:color="auto" w:sz="12" w:space="0"/>
              <w:bottom w:val="single" w:color="auto" w:sz="2" w:space="0"/>
            </w:tcBorders>
            <w:shd w:val="clear" w:color="auto" w:fill="EEECE1"/>
            <w:vAlign w:val="center"/>
          </w:tcPr>
          <w:p>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工期</w:t>
            </w:r>
          </w:p>
        </w:tc>
        <w:tc>
          <w:tcPr>
            <w:tcW w:w="3027" w:type="dxa"/>
            <w:tcBorders>
              <w:top w:val="single" w:color="auto" w:sz="12" w:space="0"/>
              <w:bottom w:val="single" w:color="auto" w:sz="2" w:space="0"/>
            </w:tcBorders>
            <w:shd w:val="clear" w:color="auto" w:fill="EEECE1"/>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最高限价（元）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3203" w:type="dxa"/>
            <w:tcBorders>
              <w:top w:val="single" w:color="auto" w:sz="2" w:space="0"/>
              <w:bottom w:val="single" w:color="auto" w:sz="2" w:space="0"/>
            </w:tcBorders>
            <w:vAlign w:val="center"/>
          </w:tcPr>
          <w:p>
            <w:pPr>
              <w:spacing w:line="36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仿宋_GB2312"/>
                <w:szCs w:val="21"/>
              </w:rPr>
              <w:t>广东省广裕集团清远滨江实业有限公司部分厂房负压风机采购及安装承揽项目</w:t>
            </w:r>
            <w:r>
              <w:rPr>
                <w:rFonts w:hint="eastAsia" w:ascii="宋体" w:hAnsi="宋体" w:eastAsia="宋体" w:cs="仿宋_GB2312"/>
                <w:szCs w:val="21"/>
                <w:lang w:eastAsia="zh-CN"/>
              </w:rPr>
              <w:t>（</w:t>
            </w:r>
            <w:r>
              <w:rPr>
                <w:rFonts w:hint="eastAsia" w:ascii="宋体" w:hAnsi="宋体" w:eastAsia="宋体" w:cs="仿宋_GB2312"/>
                <w:szCs w:val="21"/>
                <w:lang w:val="en-US" w:eastAsia="zh-CN"/>
              </w:rPr>
              <w:t>第二次）</w:t>
            </w:r>
          </w:p>
        </w:tc>
        <w:tc>
          <w:tcPr>
            <w:tcW w:w="741" w:type="dxa"/>
            <w:tcBorders>
              <w:top w:val="single" w:color="auto" w:sz="2" w:space="0"/>
              <w:bottom w:val="single" w:color="auto" w:sz="2"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1项</w:t>
            </w:r>
          </w:p>
        </w:tc>
        <w:tc>
          <w:tcPr>
            <w:tcW w:w="1551" w:type="dxa"/>
            <w:tcBorders>
              <w:top w:val="single" w:color="auto" w:sz="2" w:space="0"/>
              <w:bottom w:val="single" w:color="auto" w:sz="2" w:space="0"/>
            </w:tcBorders>
            <w:vAlign w:val="center"/>
          </w:tcPr>
          <w:p>
            <w:pPr>
              <w:spacing w:line="360" w:lineRule="auto"/>
              <w:jc w:val="center"/>
              <w:rPr>
                <w:rFonts w:hint="eastAsia" w:ascii="宋体" w:hAnsi="宋体" w:eastAsia="宋体" w:cs="宋体"/>
                <w:color w:val="000000"/>
                <w:szCs w:val="21"/>
              </w:rPr>
            </w:pPr>
            <w:r>
              <w:rPr>
                <w:rFonts w:hint="eastAsia" w:ascii="宋体" w:hAnsi="宋体" w:eastAsia="宋体" w:cs="仿宋_GB2312"/>
                <w:szCs w:val="21"/>
              </w:rPr>
              <w:t>30日历天，签订合同时约定具体起止日。</w:t>
            </w:r>
          </w:p>
        </w:tc>
        <w:tc>
          <w:tcPr>
            <w:tcW w:w="3027" w:type="dxa"/>
            <w:tcBorders>
              <w:top w:val="single" w:color="auto" w:sz="2" w:space="0"/>
              <w:bottom w:val="single" w:color="auto" w:sz="2" w:space="0"/>
            </w:tcBorders>
            <w:vAlign w:val="center"/>
          </w:tcPr>
          <w:p>
            <w:pPr>
              <w:pStyle w:val="6"/>
              <w:jc w:val="center"/>
              <w:rPr>
                <w:rFonts w:hint="eastAsia" w:ascii="宋体" w:hAnsi="宋体" w:cs="宋体"/>
                <w:color w:val="000000"/>
                <w:kern w:val="0"/>
                <w:szCs w:val="21"/>
                <w:lang w:bidi="ar"/>
              </w:rPr>
            </w:pPr>
            <w:r>
              <w:rPr>
                <w:rFonts w:hint="eastAsia" w:ascii="宋体" w:hAnsi="宋体" w:cs="仿宋_GB2312"/>
                <w:bCs/>
                <w:szCs w:val="21"/>
              </w:rPr>
              <w:t>198523.14元，</w:t>
            </w:r>
            <w:r>
              <w:rPr>
                <w:rFonts w:ascii="宋体" w:hAnsi="宋体" w:cs="宋体"/>
                <w:color w:val="000000" w:themeColor="text1"/>
                <w:szCs w:val="21"/>
                <w14:textFill>
                  <w14:solidFill>
                    <w14:schemeClr w14:val="tx1"/>
                  </w14:solidFill>
                </w14:textFill>
              </w:rPr>
              <w:t>其中不可竞争费用绿色施工安全防护措施费为人民币</w:t>
            </w:r>
            <w:r>
              <w:rPr>
                <w:rFonts w:ascii="宋体" w:hAnsi="宋体" w:cs="宋体"/>
                <w:color w:val="000000" w:themeColor="text1"/>
                <w:szCs w:val="21"/>
                <w:u w:val="single"/>
                <w14:textFill>
                  <w14:solidFill>
                    <w14:schemeClr w14:val="tx1"/>
                  </w14:solidFill>
                </w14:textFill>
              </w:rPr>
              <w:t>17752.10</w:t>
            </w:r>
            <w:r>
              <w:rPr>
                <w:rFonts w:ascii="宋体" w:hAnsi="宋体" w:cs="宋体"/>
                <w:color w:val="000000" w:themeColor="text1"/>
                <w:szCs w:val="21"/>
                <w14:textFill>
                  <w14:solidFill>
                    <w14:schemeClr w14:val="tx1"/>
                  </w14:solidFill>
                </w14:textFill>
              </w:rPr>
              <w:t>元、暂列金额</w:t>
            </w:r>
            <w:r>
              <w:rPr>
                <w:rFonts w:ascii="宋体" w:hAnsi="宋体" w:cs="宋体"/>
                <w:color w:val="000000" w:themeColor="text1"/>
                <w:szCs w:val="21"/>
                <w:u w:val="single"/>
                <w14:textFill>
                  <w14:solidFill>
                    <w14:schemeClr w14:val="tx1"/>
                  </w14:solidFill>
                </w14:textFill>
              </w:rPr>
              <w:t>0</w:t>
            </w:r>
            <w:r>
              <w:rPr>
                <w:rFonts w:ascii="宋体" w:hAnsi="宋体" w:cs="宋体"/>
                <w:color w:val="000000" w:themeColor="text1"/>
                <w:szCs w:val="21"/>
                <w14:textFill>
                  <w14:solidFill>
                    <w14:schemeClr w14:val="tx1"/>
                  </w14:solidFill>
                </w14:textFill>
              </w:rPr>
              <w:t>元、暂估价</w:t>
            </w:r>
            <w:r>
              <w:rPr>
                <w:rFonts w:ascii="宋体" w:hAnsi="宋体" w:cs="宋体"/>
                <w:color w:val="000000" w:themeColor="text1"/>
                <w:szCs w:val="21"/>
                <w:u w:val="single"/>
                <w14:textFill>
                  <w14:solidFill>
                    <w14:schemeClr w14:val="tx1"/>
                  </w14:solidFill>
                </w14:textFill>
              </w:rPr>
              <w:t>0</w:t>
            </w:r>
            <w:r>
              <w:rPr>
                <w:rFonts w:ascii="宋体" w:hAnsi="宋体" w:cs="宋体"/>
                <w:color w:val="000000" w:themeColor="text1"/>
                <w:szCs w:val="21"/>
                <w14:textFill>
                  <w14:solidFill>
                    <w14:schemeClr w14:val="tx1"/>
                  </w14:solidFill>
                </w14:textFill>
              </w:rPr>
              <w:t>元。注：不得擅自改动工程量清单的不可竞争费用绿色施工安全防护措施费、暂列金额、暂估价，否则视为无效报价。</w:t>
            </w:r>
          </w:p>
        </w:tc>
      </w:tr>
    </w:tbl>
    <w:p>
      <w:pPr>
        <w:pStyle w:val="12"/>
        <w:numPr>
          <w:ilvl w:val="0"/>
          <w:numId w:val="12"/>
        </w:numPr>
        <w:tabs>
          <w:tab w:val="left" w:pos="540"/>
        </w:tabs>
        <w:adjustRightInd w:val="0"/>
        <w:snapToGrid w:val="0"/>
        <w:spacing w:before="156" w:beforeLines="50" w:after="156" w:afterLines="50" w:line="360" w:lineRule="auto"/>
        <w:outlineLvl w:val="1"/>
        <w:rPr>
          <w:rFonts w:hint="eastAsia" w:hAnsi="宋体" w:cs="宋体"/>
          <w:b/>
          <w:bCs/>
          <w:sz w:val="21"/>
        </w:rPr>
      </w:pPr>
      <w:r>
        <w:rPr>
          <w:rFonts w:hint="eastAsia" w:hAnsi="宋体" w:cs="宋体"/>
          <w:b/>
          <w:bCs/>
          <w:sz w:val="21"/>
        </w:rPr>
        <w:t>项目简介</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（一）工程名称：广东省广裕集团清远滨江实业有限公司</w:t>
      </w:r>
      <w:r>
        <w:rPr>
          <w:rFonts w:hint="eastAsia" w:ascii="宋体" w:hAnsi="宋体" w:eastAsia="宋体" w:cs="宋体"/>
          <w:kern w:val="0"/>
          <w:szCs w:val="21"/>
          <w:u w:val="single"/>
        </w:rPr>
        <w:t>部分厂房负压风机采购及安装承揽</w:t>
      </w:r>
      <w:r>
        <w:rPr>
          <w:rFonts w:hint="eastAsia" w:ascii="宋体" w:hAnsi="宋体" w:eastAsia="宋体" w:cs="宋体"/>
          <w:kern w:val="0"/>
          <w:szCs w:val="21"/>
        </w:rPr>
        <w:t>项目</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第二次）</w:t>
      </w:r>
      <w:r>
        <w:rPr>
          <w:rFonts w:hint="eastAsia" w:ascii="宋体" w:hAnsi="宋体" w:eastAsia="宋体" w:cs="宋体"/>
          <w:kern w:val="0"/>
          <w:szCs w:val="21"/>
        </w:rPr>
        <w:t>。</w:t>
      </w:r>
    </w:p>
    <w:p>
      <w:pPr>
        <w:widowControl/>
        <w:spacing w:after="0" w:line="360" w:lineRule="auto"/>
        <w:jc w:val="left"/>
        <w:rPr>
          <w:rFonts w:ascii="宋体" w:hAnsi="宋体" w:eastAsia="宋体" w:cs="宋体"/>
          <w:kern w:val="0"/>
          <w:szCs w:val="21"/>
        </w:rPr>
      </w:pPr>
      <w:r>
        <w:rPr>
          <w:rFonts w:hint="eastAsia" w:ascii="宋体" w:hAnsi="宋体" w:eastAsia="宋体" w:cs="宋体"/>
          <w:kern w:val="0"/>
          <w:szCs w:val="21"/>
        </w:rPr>
        <w:t>（二）最高限价：</w:t>
      </w:r>
      <w:bookmarkStart w:id="1" w:name="OLE_LINK1"/>
      <w:r>
        <w:rPr>
          <w:rFonts w:hint="eastAsia" w:ascii="宋体" w:hAnsi="宋体" w:eastAsia="宋体" w:cs="宋体"/>
          <w:kern w:val="0"/>
          <w:szCs w:val="21"/>
          <w:u w:val="single"/>
        </w:rPr>
        <w:t>198523.14</w:t>
      </w:r>
      <w:bookmarkEnd w:id="1"/>
      <w:r>
        <w:rPr>
          <w:rFonts w:hint="eastAsia" w:ascii="宋体" w:hAnsi="宋体" w:eastAsia="宋体" w:cs="宋体"/>
          <w:kern w:val="0"/>
          <w:szCs w:val="21"/>
        </w:rPr>
        <w:t>元（大写人民币</w:t>
      </w:r>
      <w:bookmarkStart w:id="2" w:name="_Hlk195619925"/>
      <w:r>
        <w:rPr>
          <w:rFonts w:hint="eastAsia" w:ascii="宋体" w:hAnsi="宋体" w:eastAsia="宋体" w:cs="宋体"/>
          <w:kern w:val="0"/>
          <w:szCs w:val="21"/>
          <w:u w:val="single"/>
        </w:rPr>
        <w:t>壹拾玖万捌仟伍佰贰拾叁元壹角肆分</w:t>
      </w:r>
      <w:bookmarkEnd w:id="2"/>
      <w:r>
        <w:rPr>
          <w:rFonts w:hint="eastAsia" w:ascii="宋体" w:hAnsi="宋体" w:eastAsia="宋体" w:cs="宋体"/>
          <w:kern w:val="0"/>
          <w:szCs w:val="21"/>
        </w:rPr>
        <w:t>，含税）其中不可竞争费用绿色施工安全防护措施费为人民币</w:t>
      </w:r>
      <w:r>
        <w:rPr>
          <w:rFonts w:hint="eastAsia" w:ascii="宋体" w:hAnsi="宋体" w:eastAsia="宋体" w:cs="宋体"/>
          <w:kern w:val="0"/>
          <w:szCs w:val="21"/>
          <w:u w:val="single"/>
        </w:rPr>
        <w:t>17752.10</w:t>
      </w:r>
      <w:r>
        <w:rPr>
          <w:rFonts w:hint="eastAsia" w:ascii="宋体" w:hAnsi="宋体" w:eastAsia="宋体" w:cs="宋体"/>
          <w:kern w:val="0"/>
          <w:szCs w:val="21"/>
        </w:rPr>
        <w:t>元。注：不得擅自改动工程量清单的不可竞争费用绿色拆装安全防护措施费，否则视为无效报价；</w:t>
      </w:r>
      <w:bookmarkStart w:id="3" w:name="OLE_LINK5"/>
      <w:r>
        <w:rPr>
          <w:rFonts w:hint="eastAsia" w:ascii="宋体" w:hAnsi="宋体" w:eastAsia="宋体" w:cs="宋体"/>
          <w:kern w:val="0"/>
          <w:szCs w:val="21"/>
        </w:rPr>
        <w:t>报价时需按工程量清单的参考品牌进行报价</w:t>
      </w:r>
      <w:bookmarkEnd w:id="3"/>
      <w:r>
        <w:rPr>
          <w:rFonts w:hint="eastAsia" w:ascii="宋体" w:hAnsi="宋体" w:eastAsia="宋体" w:cs="宋体"/>
          <w:kern w:val="0"/>
          <w:szCs w:val="21"/>
        </w:rPr>
        <w:t>。</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（三）本项目报价包含货物价格、安装费、拆卸费、人工费、机械费、税费及其他不可预见费用，实行总价包干。</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（四）施工地点：广东省清远市清城区清三公路98号广东省清远监狱监管区内。</w:t>
      </w:r>
    </w:p>
    <w:p>
      <w:pPr>
        <w:pStyle w:val="12"/>
        <w:numPr>
          <w:ilvl w:val="0"/>
          <w:numId w:val="12"/>
        </w:numPr>
        <w:tabs>
          <w:tab w:val="left" w:pos="540"/>
        </w:tabs>
        <w:adjustRightInd w:val="0"/>
        <w:snapToGrid w:val="0"/>
        <w:spacing w:before="156" w:beforeLines="50" w:after="156" w:afterLines="50" w:line="360" w:lineRule="auto"/>
        <w:outlineLvl w:val="1"/>
        <w:rPr>
          <w:rFonts w:hint="eastAsia" w:hAnsi="宋体" w:cs="宋体"/>
          <w:b/>
          <w:bCs/>
          <w:sz w:val="21"/>
        </w:rPr>
      </w:pPr>
      <w:r>
        <w:rPr>
          <w:rFonts w:hint="eastAsia" w:hAnsi="宋体" w:cs="宋体"/>
          <w:b/>
          <w:bCs/>
          <w:sz w:val="21"/>
        </w:rPr>
        <w:t>采购内容</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（一）采购内容</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拆除24台旧负压风机和安装58台负压风机（含安装负压风机所需的材料、配件）。负压风机参数：380V\0.75KW\50000m3/h。</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安装位置具体如下：</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二监区一楼和二楼各安装7台负压风机，四监区三楼安装6台负压风机，八监区三楼和四楼各安装7台负压风机，十二监区一楼和二楼各拆除6台旧负压风机并安装6台负压风机，十五监区二楼和三楼各拆除6台旧负压风机并安装6台负压风机；合计拆除24台负压风机和安装58台负压风机。包括但不限于设备运输、现场安装、调试及验收等服务。</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拆出来的旧负压风机需按采购人要求搬运到监管区指定的仓库，路途约100米。</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（二）供应商资质要求</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1.具备符合条件的中华人民共和国的法人或其他组织，有合法经营权。</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2.具有有效的《营业执照》、《税务登记证》、《组成机构代码证》或三证合一的《营业执照》。</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3.本项目的特定资格要求:具有《建筑机电安装工程专业承包资质》。</w:t>
      </w:r>
    </w:p>
    <w:p>
      <w:pPr>
        <w:pStyle w:val="12"/>
        <w:numPr>
          <w:ilvl w:val="0"/>
          <w:numId w:val="12"/>
        </w:numPr>
        <w:tabs>
          <w:tab w:val="left" w:pos="540"/>
        </w:tabs>
        <w:adjustRightInd w:val="0"/>
        <w:snapToGrid w:val="0"/>
        <w:spacing w:before="156" w:beforeLines="50" w:after="156" w:afterLines="50" w:line="360" w:lineRule="auto"/>
        <w:outlineLvl w:val="1"/>
        <w:rPr>
          <w:rFonts w:hint="eastAsia" w:hAnsi="宋体" w:cs="宋体"/>
          <w:b/>
          <w:bCs/>
          <w:sz w:val="21"/>
        </w:rPr>
      </w:pPr>
      <w:r>
        <w:rPr>
          <w:rFonts w:hint="eastAsia" w:hAnsi="宋体" w:cs="宋体"/>
          <w:b/>
          <w:bCs/>
          <w:sz w:val="21"/>
        </w:rPr>
        <w:t>施工要求</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（一）工期及人员要求</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1.合同工期：</w:t>
      </w:r>
      <w:bookmarkStart w:id="4" w:name="OLE_LINK2"/>
      <w:r>
        <w:rPr>
          <w:rFonts w:hint="eastAsia" w:ascii="宋体" w:hAnsi="宋体" w:eastAsia="宋体" w:cs="宋体"/>
          <w:kern w:val="0"/>
          <w:szCs w:val="21"/>
          <w:u w:val="single"/>
        </w:rPr>
        <w:t>30</w:t>
      </w:r>
      <w:r>
        <w:rPr>
          <w:rFonts w:hint="eastAsia" w:ascii="宋体" w:hAnsi="宋体" w:eastAsia="宋体" w:cs="宋体"/>
          <w:kern w:val="0"/>
          <w:szCs w:val="21"/>
        </w:rPr>
        <w:t>日历天。签订合同时约定具体起止日</w:t>
      </w:r>
      <w:bookmarkEnd w:id="4"/>
      <w:r>
        <w:rPr>
          <w:rFonts w:hint="eastAsia" w:ascii="宋体" w:hAnsi="宋体" w:eastAsia="宋体" w:cs="宋体"/>
          <w:kern w:val="0"/>
          <w:szCs w:val="21"/>
        </w:rPr>
        <w:t>。</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2.人员要求：</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1）安装人员须持证上岗，高空作业、动火作业等危险作业必须持证作业，如：高空作业证、焊工证、电工证等；因施工场所特殊，高空作业必须使用吊臂车进行安装，成交供应商需为安装人员购买意外保险、工伤保险。安装前需提供相关证件及购买保险记录。</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（二）工程质量控制及技术要求</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安装需符合国家标准《风机、压缩机、泵安装工程施工及验收规范》（GB50275-2010），产品质量达到国家标准，含中华人民共和国国家安全质量标准、环保标准、行业标准等。</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本工程要求严格按照国家有关安装及验收规范、技术标准进行安装，符合国家颁发的有关质量验评标准，工程质量合格。成交供应商在安装中如果工程质量不符合要求和有关规定，采购人要求停工和返工时，成交供应商必须执行，并承担由此产生的各种费用，工期不予顺延。</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安装完成后，成交供应商应当交付使用说明书和维护手册，对设备的运行和维护进行指导。</w:t>
      </w:r>
    </w:p>
    <w:p>
      <w:pPr>
        <w:widowControl/>
        <w:numPr>
          <w:ilvl w:val="0"/>
          <w:numId w:val="15"/>
        </w:numPr>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使用材料要求</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本工程使用的由成交供应商采购的主要材料（包括拆装工程使用的主要材料、设备）应具有出厂合格证明，符合国家相应的质量标准。</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（四）施工条件</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1.拆装期间成交供应商必须保证场地和通道的清洁卫生，搬离室外的建筑垃圾必须做到当日清运，所有妨碍拆装的物品需采取保护措施，拆装完成后恢复原貌。</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2.因监管的管理要求，每天施工时间只有6小时左右，施工人员管理必须服从采购人统一管理要求。</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（五）监狱管理要求</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成交供应商的拆装人员必须严格遵守监狱保密及相关管理规定，如发现成交供应商及其工作人员违反监狱管理规定并造成严重后果，采购人有权终止合同，重新选定成交供应商，履约保证金不予退回，并追究成交供应商责任。</w:t>
      </w:r>
    </w:p>
    <w:p>
      <w:pPr>
        <w:pStyle w:val="12"/>
        <w:numPr>
          <w:ilvl w:val="0"/>
          <w:numId w:val="12"/>
        </w:numPr>
        <w:tabs>
          <w:tab w:val="left" w:pos="540"/>
        </w:tabs>
        <w:adjustRightInd w:val="0"/>
        <w:snapToGrid w:val="0"/>
        <w:spacing w:before="156" w:beforeLines="50" w:after="156" w:afterLines="50" w:line="360" w:lineRule="auto"/>
        <w:ind w:left="0" w:firstLine="0"/>
        <w:outlineLvl w:val="1"/>
        <w:rPr>
          <w:rFonts w:hint="eastAsia" w:hAnsi="宋体" w:cs="宋体"/>
          <w:b/>
          <w:bCs/>
          <w:sz w:val="21"/>
        </w:rPr>
      </w:pPr>
      <w:r>
        <w:rPr>
          <w:rFonts w:hint="eastAsia" w:hAnsi="宋体" w:cs="宋体"/>
          <w:b/>
          <w:bCs/>
          <w:sz w:val="21"/>
        </w:rPr>
        <w:t>外来人员进出监管区要求</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（一）外来人员必须遵守法律法规，不得假借监狱名义从事有损监狱形象的行为。</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（二）外来人员进入监管区应提高警惕，注意人身安全保护，加强自我防范意识；自觉与罪犯划清界线，防止被罪犯利用。</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（三）外来人员进入监管区必须衣着整齐，举止文明。</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（四）凡需进入监管区的外来人员必须由合作方开具委派证明和身份证明原件，向甲方提出申请，经核准后办理相关手续。</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（五）外来车辆应凭审批手续并由监狱警察带领或监狱指定人员驾驶，方可进出监管区大门。</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（六）所有进出监管区大门的人员、车辆和物品应接受监门警察和监门哨兵的检查，凭通行证件或经监狱审批的手续，人证相符、手续齐全方可进出监管区大门。</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七）外来人员进出监管区大门必须遵守《广东省监狱监管区大门管理规定（试行）》，凭有效身份证件办理《外来人员通行证》或《外来人员临时通行证》，由监狱相关部门警察带入带出，并接受监门武警和值班警察的检查管理。</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（八）外来人员不得携带违禁品、违规品、危险品等可能影响监管安全的物品进入监管区，进入监管区时必须按规定将移动电话等物品保管在贮物箱。</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违禁品是指枪支弹药、通讯设备、现金、刀具、毒品、麻醉及精神药品、军警制服、便服、假发、反动、淫秽宣传制品等物品；</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违规品是指含有酒精的饮品、火种及可用作点火的可燃物品、身份类证件、绳索及可用作绳索的生产原材料、半成品、成品、玻璃陶瓷类制品及含有玻璃制品的物品、绝缘物品、燃料炊具和电炊具等物品；</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危险品是指钝器、攀高物、易燃易爆、剧毒、放射、腐蚀性等物品。</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（九）外来人员进入监管区大门后，必须将《外来人员通行证》或《外来人员临时通行证》挂于胸前，并妥善保管。</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（十）外来人员在监管区内必须遵守监狱的下列规定：</w:t>
      </w:r>
    </w:p>
    <w:p>
      <w:pPr>
        <w:widowControl/>
        <w:spacing w:after="0"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1.不得擅自与罪犯接触，与罪犯认老乡、攀亲结友；</w:t>
      </w:r>
    </w:p>
    <w:p>
      <w:pPr>
        <w:widowControl/>
        <w:spacing w:after="0"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2.不得为服刑人员传带、保管任何物品；</w:t>
      </w:r>
    </w:p>
    <w:p>
      <w:pPr>
        <w:widowControl/>
        <w:spacing w:after="0"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3.不得为罪犯邮寄信件、捎口信或替罪犯打电话；</w:t>
      </w:r>
    </w:p>
    <w:p>
      <w:pPr>
        <w:widowControl/>
        <w:spacing w:after="0"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4.不得在监管区拍照、摄像或录音；</w:t>
      </w:r>
    </w:p>
    <w:p>
      <w:pPr>
        <w:widowControl/>
        <w:spacing w:after="0"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5.不得在监管区内随意走动，非经许可不得进入监舍区；</w:t>
      </w:r>
    </w:p>
    <w:p>
      <w:pPr>
        <w:widowControl/>
        <w:spacing w:after="0"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6.不得与服刑人员交谈业务以外的内容；</w:t>
      </w:r>
    </w:p>
    <w:p>
      <w:pPr>
        <w:widowControl/>
        <w:spacing w:after="0"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7.不得散布不利于服刑人员改造的言论；</w:t>
      </w:r>
    </w:p>
    <w:p>
      <w:pPr>
        <w:widowControl/>
        <w:spacing w:after="0"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8.不得干涉、干扰监狱对服刑人员的执法活动；</w:t>
      </w:r>
    </w:p>
    <w:p>
      <w:pPr>
        <w:widowControl/>
        <w:spacing w:after="0"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9.不得破坏监狱设施；</w:t>
      </w:r>
    </w:p>
    <w:p>
      <w:pPr>
        <w:widowControl/>
        <w:spacing w:after="0"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10.患有传染性疾病的外来人员严禁进入监管区；</w:t>
      </w:r>
    </w:p>
    <w:p>
      <w:pPr>
        <w:widowControl/>
        <w:spacing w:after="0"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11.不得向无关人员谈及监狱工作秘密，或从事其它有碍监管安全的行为。</w:t>
      </w:r>
    </w:p>
    <w:p>
      <w:pPr>
        <w:widowControl/>
        <w:spacing w:after="0"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（十一）外来车辆应按指定位置停放并熄火，拔下钥匙，锁紧车门窗。所有车辆在当天18时前应驶离监管区。</w:t>
      </w:r>
    </w:p>
    <w:p>
      <w:pPr>
        <w:widowControl/>
        <w:spacing w:after="0"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（十二）外来人员若违反本管理规定，监狱将责成成交供应商将其解聘、辞退或调离，严禁其再次进入监管区，情节严重的将与供应商解除合同，有违法行为的送司法机关处理。</w:t>
      </w:r>
    </w:p>
    <w:p>
      <w:pPr>
        <w:pStyle w:val="12"/>
        <w:numPr>
          <w:ilvl w:val="0"/>
          <w:numId w:val="12"/>
        </w:numPr>
        <w:tabs>
          <w:tab w:val="left" w:pos="540"/>
        </w:tabs>
        <w:adjustRightInd w:val="0"/>
        <w:snapToGrid w:val="0"/>
        <w:spacing w:before="156" w:beforeLines="50" w:after="156" w:afterLines="50" w:line="360" w:lineRule="auto"/>
        <w:ind w:left="0" w:firstLine="0"/>
        <w:outlineLvl w:val="1"/>
        <w:rPr>
          <w:rFonts w:hint="eastAsia" w:hAnsi="宋体" w:cs="宋体"/>
          <w:b/>
          <w:bCs/>
          <w:sz w:val="21"/>
        </w:rPr>
      </w:pPr>
      <w:r>
        <w:rPr>
          <w:rFonts w:hint="eastAsia" w:hAnsi="宋体" w:cs="宋体"/>
          <w:b/>
          <w:bCs/>
          <w:sz w:val="21"/>
        </w:rPr>
        <w:t>质保期及质保金</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（一）质保期自验收签字之日起，质保期为</w:t>
      </w:r>
      <w:r>
        <w:rPr>
          <w:rFonts w:hint="eastAsia" w:ascii="宋体" w:hAnsi="宋体" w:eastAsia="宋体" w:cs="宋体"/>
          <w:kern w:val="0"/>
          <w:szCs w:val="21"/>
          <w:u w:val="single"/>
        </w:rPr>
        <w:t>2</w:t>
      </w:r>
      <w:r>
        <w:rPr>
          <w:rFonts w:hint="eastAsia" w:ascii="宋体" w:hAnsi="宋体" w:eastAsia="宋体" w:cs="宋体"/>
          <w:kern w:val="0"/>
          <w:szCs w:val="21"/>
        </w:rPr>
        <w:t>年，在质保期内因安装质量而造成返修的，其费用由成交供应商负责。</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二）项目质保金为合同金额的5%，验收合格14个工作日内以银行转账形式提交，质保期满后14个工作日内，扣除此期间的维修费用（如有）将剩余部分不计利息予以支付，质量保证金不足以支付实际维修费用时，成交供应商应在接到采购人通知后七日历天内向采购人缴交此费用。质保期内发现重大隐蔽缺陷或因产品质量引发安全事故，则该质量保证金不予退回，同时采购人另行追究相关责任。</w:t>
      </w:r>
    </w:p>
    <w:p>
      <w:pPr>
        <w:pStyle w:val="12"/>
        <w:numPr>
          <w:ilvl w:val="0"/>
          <w:numId w:val="12"/>
        </w:numPr>
        <w:tabs>
          <w:tab w:val="left" w:pos="540"/>
        </w:tabs>
        <w:adjustRightInd w:val="0"/>
        <w:snapToGrid w:val="0"/>
        <w:spacing w:before="156" w:beforeLines="50" w:after="156" w:afterLines="50" w:line="360" w:lineRule="auto"/>
        <w:ind w:left="0" w:firstLine="0"/>
        <w:outlineLvl w:val="1"/>
        <w:rPr>
          <w:rFonts w:hint="eastAsia" w:hAnsi="宋体" w:cs="宋体"/>
          <w:b/>
          <w:bCs/>
          <w:sz w:val="21"/>
        </w:rPr>
      </w:pPr>
      <w:r>
        <w:rPr>
          <w:rFonts w:hint="eastAsia" w:hAnsi="宋体" w:cs="宋体"/>
          <w:b/>
          <w:bCs/>
          <w:sz w:val="21"/>
        </w:rPr>
        <w:t>验收支付</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（一）验收要求</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本项目采用中华人民共和国现行技术和验收规范实施验收，在实施过程中，如有新的规范及标准颁布，应按新的规范及标准执行。</w:t>
      </w:r>
    </w:p>
    <w:p>
      <w:pPr>
        <w:widowControl/>
        <w:numPr>
          <w:ilvl w:val="0"/>
          <w:numId w:val="16"/>
        </w:numPr>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支付条款</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成交供应商按采购人要求完成拆装并经验收合格后，凭增值税专用发票向采购人申请付款，采购人收到申请后应在三十日历天内结清全部货款。</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（三）履约保证金条款</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自结果公告发布后10个日历日内，成交供应商需缴纳合同金额的5%作为履约保证金。履约保证金以银行转账非现金形式提交。如成交供应商不按时签订合同或放弃成交资格的，履约保证金不予退回（不可抗力原因除外）。项目验收合格，履约保证金无息退回。</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（四）违约责任</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成交供应商必须根据采购人工期要求，科学合理拟定施工计划并严格执行，确保按时完工验收（出现不可抗力因素情形时，经双方共同认可，工期可以顺延）。如规定工期内未能完工的，每超出规定工期一天，采购人有权扣除成交供应商合同总价的</w:t>
      </w:r>
      <w:r>
        <w:rPr>
          <w:rFonts w:hint="eastAsia" w:ascii="宋体" w:hAnsi="宋体" w:eastAsia="宋体" w:cs="宋体"/>
          <w:kern w:val="0"/>
          <w:szCs w:val="21"/>
          <w:u w:val="single"/>
        </w:rPr>
        <w:t>3</w:t>
      </w:r>
      <w:r>
        <w:rPr>
          <w:rFonts w:ascii="宋体" w:hAnsi="宋体" w:eastAsia="宋体" w:cs="宋体"/>
          <w:kern w:val="0"/>
          <w:szCs w:val="21"/>
        </w:rPr>
        <w:t>‰</w:t>
      </w:r>
      <w:r>
        <w:rPr>
          <w:rFonts w:hint="eastAsia" w:ascii="宋体" w:hAnsi="宋体" w:eastAsia="宋体" w:cs="宋体"/>
          <w:kern w:val="0"/>
          <w:szCs w:val="21"/>
        </w:rPr>
        <w:t>，最高不超过合同总价的5%。规定工期到期后，根据项目施工情况，若因为成交供应商原因，采购人认为成交供应商继续施工不能达到本项目要求的，采购人有权解除合同，并就采购人所发生的损失，追究成交供应商责任。施工过程中，如因成交供应商原因造成采购人经济损失的，成交供应商必须予以赔偿。</w:t>
      </w:r>
    </w:p>
    <w:p>
      <w:pPr>
        <w:widowControl/>
        <w:spacing w:after="0" w:line="360" w:lineRule="auto"/>
        <w:jc w:val="left"/>
        <w:rPr>
          <w:rFonts w:hint="eastAsia" w:ascii="宋体" w:hAnsi="宋体" w:eastAsia="宋体" w:cs="宋体"/>
          <w:kern w:val="0"/>
          <w:szCs w:val="21"/>
        </w:rPr>
      </w:pPr>
    </w:p>
    <w:p>
      <w:pPr>
        <w:widowControl/>
        <w:spacing w:after="0" w:line="360" w:lineRule="auto"/>
        <w:jc w:val="left"/>
        <w:rPr>
          <w:rFonts w:hint="eastAsia" w:ascii="宋体" w:hAnsi="宋体" w:eastAsia="宋体" w:cs="宋体"/>
          <w:b/>
          <w:bCs/>
          <w:kern w:val="0"/>
          <w:szCs w:val="21"/>
        </w:rPr>
      </w:pPr>
      <w:r>
        <w:rPr>
          <w:rFonts w:hint="eastAsia" w:ascii="宋体" w:hAnsi="宋体" w:eastAsia="宋体" w:cs="宋体"/>
          <w:b/>
          <w:bCs/>
          <w:kern w:val="0"/>
          <w:szCs w:val="21"/>
        </w:rPr>
        <w:t>附件1：</w:t>
      </w:r>
      <w:bookmarkStart w:id="5" w:name="_GoBack"/>
      <w:bookmarkEnd w:id="5"/>
      <w:r>
        <w:rPr>
          <w:rFonts w:hint="eastAsia" w:ascii="宋体" w:hAnsi="宋体" w:eastAsia="宋体" w:cs="宋体"/>
          <w:b/>
          <w:bCs/>
          <w:kern w:val="0"/>
          <w:szCs w:val="21"/>
        </w:rPr>
        <w:t>工程量清单-部分厂房负压风机采购及安装项目（另册）。</w:t>
      </w:r>
    </w:p>
    <w:p>
      <w:pPr>
        <w:widowControl/>
        <w:jc w:val="left"/>
        <w:rPr>
          <w:rFonts w:hint="eastAsia" w:ascii="宋体" w:hAnsi="宋体" w:eastAsia="宋体" w:cs="宋体"/>
          <w:b/>
          <w:bCs/>
          <w:color w:val="000000" w:themeColor="text1"/>
          <w:sz w:val="32"/>
          <w:szCs w:val="32"/>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p>
    <w:p>
      <w:pPr>
        <w:pStyle w:val="22"/>
        <w:spacing w:before="0" w:after="0"/>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第三章 报价附件</w:t>
      </w:r>
    </w:p>
    <w:p>
      <w:pPr>
        <w:pStyle w:val="3"/>
        <w:spacing w:before="0" w:after="0"/>
        <w:jc w:val="cente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 价 表</w:t>
      </w:r>
    </w:p>
    <w:tbl>
      <w:tblPr>
        <w:tblStyle w:val="29"/>
        <w:tblW w:w="1076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830"/>
        <w:gridCol w:w="851"/>
        <w:gridCol w:w="1701"/>
        <w:gridCol w:w="1381"/>
        <w:gridCol w:w="1560"/>
        <w:gridCol w:w="1028"/>
        <w:gridCol w:w="24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67" w:hRule="atLeast"/>
          <w:jc w:val="center"/>
        </w:trPr>
        <w:tc>
          <w:tcPr>
            <w:tcW w:w="1830" w:type="dxa"/>
            <w:tcBorders>
              <w:tl2br w:val="nil"/>
              <w:tr2bl w:val="nil"/>
            </w:tcBorders>
            <w:shd w:val="clear" w:color="auto" w:fill="auto"/>
            <w:vAlign w:val="center"/>
          </w:tcPr>
          <w:p>
            <w:pPr>
              <w:shd w:val="clear" w:color="auto" w:fill="FFFFFF"/>
              <w:snapToGrid w:val="0"/>
              <w:jc w:val="center"/>
              <w:rPr>
                <w:rFonts w:hint="eastAsia" w:ascii="宋体" w:hAnsi="宋体" w:eastAsia="宋体" w:cs="宋体"/>
                <w:b/>
                <w:szCs w:val="24"/>
                <w:shd w:val="clear" w:color="auto" w:fill="FFFFFF"/>
              </w:rPr>
            </w:pPr>
            <w:r>
              <w:rPr>
                <w:rFonts w:hint="eastAsia" w:ascii="宋体" w:hAnsi="宋体" w:eastAsia="宋体" w:cs="宋体"/>
                <w:b/>
                <w:szCs w:val="24"/>
                <w:shd w:val="clear" w:color="auto" w:fill="FFFFFF"/>
              </w:rPr>
              <w:t>采购内容</w:t>
            </w:r>
          </w:p>
        </w:tc>
        <w:tc>
          <w:tcPr>
            <w:tcW w:w="851" w:type="dxa"/>
            <w:tcBorders>
              <w:tl2br w:val="nil"/>
              <w:tr2bl w:val="nil"/>
            </w:tcBorders>
            <w:shd w:val="clear" w:color="auto" w:fill="auto"/>
            <w:vAlign w:val="center"/>
          </w:tcPr>
          <w:p>
            <w:pPr>
              <w:shd w:val="clear" w:color="auto" w:fill="FFFFFF"/>
              <w:snapToGrid w:val="0"/>
              <w:jc w:val="center"/>
              <w:rPr>
                <w:rFonts w:hint="eastAsia" w:ascii="宋体" w:hAnsi="宋体" w:eastAsia="宋体" w:cs="宋体"/>
                <w:b/>
                <w:szCs w:val="24"/>
                <w:shd w:val="clear" w:color="auto" w:fill="FFFFFF"/>
                <w:lang w:bidi="ar"/>
              </w:rPr>
            </w:pPr>
            <w:r>
              <w:rPr>
                <w:rFonts w:hint="eastAsia" w:ascii="宋体" w:hAnsi="宋体" w:eastAsia="宋体" w:cs="宋体"/>
                <w:b/>
                <w:szCs w:val="24"/>
                <w:shd w:val="clear" w:color="auto" w:fill="FFFFFF"/>
                <w:lang w:bidi="ar"/>
              </w:rPr>
              <w:t>数量</w:t>
            </w:r>
          </w:p>
        </w:tc>
        <w:tc>
          <w:tcPr>
            <w:tcW w:w="1701" w:type="dxa"/>
            <w:tcBorders>
              <w:tl2br w:val="nil"/>
              <w:tr2bl w:val="nil"/>
            </w:tcBorders>
            <w:shd w:val="clear" w:color="auto" w:fill="auto"/>
            <w:vAlign w:val="center"/>
          </w:tcPr>
          <w:p>
            <w:pPr>
              <w:shd w:val="clear" w:color="auto" w:fill="FFFFFF"/>
              <w:snapToGrid w:val="0"/>
              <w:jc w:val="center"/>
              <w:rPr>
                <w:rFonts w:hint="eastAsia" w:ascii="宋体" w:hAnsi="宋体" w:eastAsia="宋体" w:cs="宋体"/>
                <w:b/>
                <w:szCs w:val="24"/>
                <w:shd w:val="clear" w:color="auto" w:fill="FFFFFF"/>
                <w:lang w:bidi="ar"/>
              </w:rPr>
            </w:pPr>
            <w:r>
              <w:rPr>
                <w:rFonts w:hint="eastAsia" w:ascii="宋体" w:hAnsi="宋体" w:eastAsia="宋体" w:cs="宋体"/>
                <w:b/>
                <w:szCs w:val="24"/>
                <w:shd w:val="clear" w:color="auto" w:fill="FFFFFF"/>
                <w:lang w:bidi="ar"/>
              </w:rPr>
              <w:t>工期</w:t>
            </w:r>
          </w:p>
        </w:tc>
        <w:tc>
          <w:tcPr>
            <w:tcW w:w="1381" w:type="dxa"/>
            <w:tcBorders>
              <w:tl2br w:val="nil"/>
              <w:tr2bl w:val="nil"/>
            </w:tcBorders>
            <w:vAlign w:val="center"/>
          </w:tcPr>
          <w:p>
            <w:pPr>
              <w:shd w:val="clear" w:color="auto" w:fill="FFFFFF"/>
              <w:snapToGrid w:val="0"/>
              <w:jc w:val="center"/>
              <w:rPr>
                <w:rFonts w:hint="eastAsia" w:ascii="宋体" w:hAnsi="宋体" w:eastAsia="宋体" w:cs="宋体"/>
                <w:b/>
                <w:szCs w:val="24"/>
                <w:shd w:val="clear" w:color="auto" w:fill="FFFFFF"/>
                <w:lang w:bidi="ar"/>
              </w:rPr>
            </w:pPr>
            <w:r>
              <w:rPr>
                <w:rFonts w:hint="eastAsia" w:ascii="宋体" w:hAnsi="宋体" w:eastAsia="宋体" w:cs="宋体"/>
                <w:b/>
                <w:szCs w:val="24"/>
                <w:shd w:val="clear" w:color="auto" w:fill="FFFFFF"/>
                <w:lang w:bidi="ar"/>
              </w:rPr>
              <w:t>参考品牌（负压风机）</w:t>
            </w:r>
          </w:p>
        </w:tc>
        <w:tc>
          <w:tcPr>
            <w:tcW w:w="1560" w:type="dxa"/>
            <w:tcBorders>
              <w:tl2br w:val="nil"/>
              <w:tr2bl w:val="nil"/>
            </w:tcBorders>
            <w:vAlign w:val="center"/>
          </w:tcPr>
          <w:p>
            <w:pPr>
              <w:shd w:val="clear" w:color="auto" w:fill="FFFFFF"/>
              <w:snapToGrid w:val="0"/>
              <w:jc w:val="center"/>
              <w:rPr>
                <w:rFonts w:hint="eastAsia" w:ascii="宋体" w:hAnsi="宋体" w:eastAsia="宋体" w:cs="宋体"/>
                <w:b/>
                <w:szCs w:val="24"/>
                <w:shd w:val="clear" w:color="auto" w:fill="FFFFFF"/>
                <w:lang w:bidi="ar"/>
              </w:rPr>
            </w:pPr>
            <w:r>
              <w:rPr>
                <w:rFonts w:hint="eastAsia" w:ascii="宋体" w:hAnsi="宋体" w:eastAsia="宋体" w:cs="宋体"/>
                <w:b/>
                <w:szCs w:val="24"/>
                <w:shd w:val="clear" w:color="auto" w:fill="FFFFFF"/>
                <w:lang w:bidi="ar"/>
              </w:rPr>
              <w:t>所供品牌及型号（负压风机）</w:t>
            </w:r>
          </w:p>
        </w:tc>
        <w:tc>
          <w:tcPr>
            <w:tcW w:w="1028" w:type="dxa"/>
            <w:tcBorders>
              <w:tl2br w:val="nil"/>
              <w:tr2bl w:val="nil"/>
            </w:tcBorders>
            <w:shd w:val="clear" w:color="auto" w:fill="auto"/>
            <w:vAlign w:val="center"/>
          </w:tcPr>
          <w:p>
            <w:pPr>
              <w:shd w:val="clear" w:color="auto" w:fill="FFFFFF"/>
              <w:snapToGrid w:val="0"/>
              <w:jc w:val="center"/>
              <w:rPr>
                <w:rFonts w:hint="eastAsia" w:ascii="宋体" w:hAnsi="宋体" w:eastAsia="宋体" w:cs="宋体"/>
                <w:b/>
                <w:szCs w:val="24"/>
                <w:shd w:val="clear" w:color="auto" w:fill="FFFFFF"/>
                <w:lang w:bidi="ar"/>
              </w:rPr>
            </w:pPr>
            <w:r>
              <w:rPr>
                <w:rFonts w:hint="eastAsia" w:ascii="宋体" w:hAnsi="宋体" w:eastAsia="宋体" w:cs="宋体"/>
                <w:b/>
                <w:szCs w:val="24"/>
                <w:shd w:val="clear" w:color="auto" w:fill="FFFFFF"/>
                <w:lang w:bidi="ar"/>
              </w:rPr>
              <w:t>报价（元）</w:t>
            </w:r>
          </w:p>
        </w:tc>
        <w:tc>
          <w:tcPr>
            <w:tcW w:w="2409" w:type="dxa"/>
            <w:tcBorders>
              <w:tl2br w:val="nil"/>
              <w:tr2bl w:val="nil"/>
            </w:tcBorders>
            <w:shd w:val="clear" w:color="auto" w:fill="auto"/>
            <w:vAlign w:val="center"/>
          </w:tcPr>
          <w:p>
            <w:pPr>
              <w:shd w:val="clear" w:color="auto" w:fill="FFFFFF"/>
              <w:snapToGrid w:val="0"/>
              <w:jc w:val="center"/>
              <w:rPr>
                <w:rFonts w:hint="eastAsia" w:ascii="宋体" w:hAnsi="宋体" w:eastAsia="宋体" w:cs="宋体"/>
                <w:b/>
                <w:szCs w:val="24"/>
                <w:shd w:val="clear" w:color="auto" w:fill="FFFFFF"/>
              </w:rPr>
            </w:pPr>
            <w:r>
              <w:rPr>
                <w:rFonts w:hint="eastAsia" w:ascii="宋体" w:hAnsi="宋体" w:eastAsia="宋体" w:cs="宋体"/>
                <w:b/>
                <w:szCs w:val="24"/>
                <w:shd w:val="clear" w:color="auto" w:fill="FFFFFF"/>
                <w:lang w:bidi="ar"/>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015" w:hRule="atLeast"/>
          <w:jc w:val="center"/>
        </w:trPr>
        <w:tc>
          <w:tcPr>
            <w:tcW w:w="1830" w:type="dxa"/>
            <w:tcBorders>
              <w:tl2br w:val="nil"/>
              <w:tr2bl w:val="nil"/>
            </w:tcBorders>
            <w:shd w:val="clear" w:color="auto" w:fill="auto"/>
            <w:vAlign w:val="center"/>
          </w:tcPr>
          <w:p>
            <w:pPr>
              <w:shd w:val="clear" w:color="auto" w:fill="FFFFFF"/>
              <w:spacing w:before="156" w:after="156"/>
              <w:jc w:val="center"/>
              <w:rPr>
                <w:rFonts w:hint="eastAsia" w:ascii="宋体" w:hAnsi="宋体" w:eastAsia="宋体" w:cs="宋体"/>
                <w:szCs w:val="24"/>
                <w:shd w:val="clear" w:color="auto" w:fill="FFFFFF"/>
              </w:rPr>
            </w:pPr>
            <w:r>
              <w:rPr>
                <w:rFonts w:hint="eastAsia" w:ascii="宋体" w:hAnsi="宋体" w:eastAsia="宋体" w:cs="仿宋_GB2312"/>
                <w:szCs w:val="21"/>
              </w:rPr>
              <w:t>广东省广裕集团清远滨江实业有限公司部分厂房负压风机采购及安装承揽项目</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第二次）</w:t>
            </w:r>
          </w:p>
        </w:tc>
        <w:tc>
          <w:tcPr>
            <w:tcW w:w="851" w:type="dxa"/>
            <w:tcBorders>
              <w:tl2br w:val="nil"/>
              <w:tr2bl w:val="nil"/>
            </w:tcBorders>
            <w:shd w:val="clear" w:color="auto" w:fill="auto"/>
            <w:vAlign w:val="center"/>
          </w:tcPr>
          <w:p>
            <w:pPr>
              <w:shd w:val="clear" w:color="auto" w:fill="FFFFFF"/>
              <w:spacing w:before="156" w:after="156"/>
              <w:jc w:val="center"/>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1项</w:t>
            </w:r>
          </w:p>
        </w:tc>
        <w:tc>
          <w:tcPr>
            <w:tcW w:w="1701" w:type="dxa"/>
            <w:tcBorders>
              <w:tl2br w:val="nil"/>
              <w:tr2bl w:val="nil"/>
            </w:tcBorders>
            <w:shd w:val="clear" w:color="auto" w:fill="auto"/>
            <w:vAlign w:val="center"/>
          </w:tcPr>
          <w:p>
            <w:pPr>
              <w:shd w:val="clear" w:color="auto" w:fill="FFFFFF"/>
              <w:spacing w:before="156" w:after="156"/>
              <w:jc w:val="center"/>
              <w:rPr>
                <w:rFonts w:hint="eastAsia" w:ascii="宋体" w:hAnsi="宋体" w:eastAsia="宋体" w:cs="宋体"/>
                <w:color w:val="000000"/>
                <w:szCs w:val="21"/>
              </w:rPr>
            </w:pPr>
            <w:r>
              <w:rPr>
                <w:rFonts w:hint="eastAsia" w:ascii="宋体" w:hAnsi="宋体" w:eastAsia="宋体" w:cs="仿宋_GB2312"/>
                <w:szCs w:val="21"/>
              </w:rPr>
              <w:t>30日历天，签订合同时约定具体起止日。</w:t>
            </w:r>
          </w:p>
        </w:tc>
        <w:tc>
          <w:tcPr>
            <w:tcW w:w="1381" w:type="dxa"/>
            <w:tcBorders>
              <w:tl2br w:val="nil"/>
              <w:tr2bl w:val="nil"/>
            </w:tcBorders>
            <w:vAlign w:val="center"/>
          </w:tcPr>
          <w:p>
            <w:pPr>
              <w:shd w:val="clear" w:color="auto" w:fill="FFFFFF"/>
              <w:spacing w:before="156" w:after="156"/>
              <w:jc w:val="center"/>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沈鼓SBW、陕鼓、Howden豪顿、上专股份、YILIDA</w:t>
            </w:r>
          </w:p>
        </w:tc>
        <w:tc>
          <w:tcPr>
            <w:tcW w:w="1560" w:type="dxa"/>
            <w:tcBorders>
              <w:tl2br w:val="nil"/>
              <w:tr2bl w:val="nil"/>
            </w:tcBorders>
            <w:vAlign w:val="center"/>
          </w:tcPr>
          <w:p>
            <w:pPr>
              <w:shd w:val="clear" w:color="auto" w:fill="FFFFFF"/>
              <w:spacing w:before="156" w:after="156"/>
              <w:jc w:val="center"/>
              <w:rPr>
                <w:rFonts w:hint="eastAsia" w:ascii="宋体" w:hAnsi="宋体" w:eastAsia="宋体" w:cs="宋体"/>
                <w:szCs w:val="24"/>
                <w:u w:val="single"/>
                <w:shd w:val="clear" w:color="auto" w:fill="FFFFFF"/>
              </w:rPr>
            </w:pPr>
          </w:p>
        </w:tc>
        <w:tc>
          <w:tcPr>
            <w:tcW w:w="1028" w:type="dxa"/>
            <w:tcBorders>
              <w:tl2br w:val="nil"/>
              <w:tr2bl w:val="nil"/>
            </w:tcBorders>
            <w:shd w:val="clear" w:color="auto" w:fill="auto"/>
            <w:vAlign w:val="center"/>
          </w:tcPr>
          <w:p>
            <w:pPr>
              <w:shd w:val="clear" w:color="auto" w:fill="FFFFFF"/>
              <w:spacing w:before="156" w:after="156"/>
              <w:jc w:val="center"/>
              <w:rPr>
                <w:rFonts w:hint="eastAsia" w:ascii="宋体" w:hAnsi="宋体" w:eastAsia="宋体" w:cs="宋体"/>
                <w:szCs w:val="24"/>
                <w:u w:val="single"/>
                <w:shd w:val="clear" w:color="auto" w:fill="FFFFFF"/>
              </w:rPr>
            </w:pPr>
          </w:p>
        </w:tc>
        <w:tc>
          <w:tcPr>
            <w:tcW w:w="2409" w:type="dxa"/>
            <w:tcBorders>
              <w:tl2br w:val="nil"/>
              <w:tr2bl w:val="nil"/>
            </w:tcBorders>
            <w:shd w:val="clear" w:color="auto" w:fill="auto"/>
            <w:vAlign w:val="center"/>
          </w:tcPr>
          <w:p>
            <w:pPr>
              <w:shd w:val="clear" w:color="auto" w:fill="FFFFFF"/>
              <w:spacing w:before="156" w:after="156"/>
              <w:jc w:val="center"/>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其中不可竞争费用绿色施工安全防护措施费为人民币</w:t>
            </w:r>
            <w:r>
              <w:rPr>
                <w:rFonts w:ascii="宋体" w:hAnsi="宋体" w:eastAsia="宋体" w:cs="宋体"/>
                <w:szCs w:val="24"/>
                <w:shd w:val="clear" w:color="auto" w:fill="FFFFFF"/>
              </w:rPr>
              <w:t>17752.10</w:t>
            </w:r>
            <w:r>
              <w:rPr>
                <w:rFonts w:hint="eastAsia" w:ascii="宋体" w:hAnsi="宋体" w:eastAsia="宋体" w:cs="宋体"/>
                <w:szCs w:val="24"/>
                <w:shd w:val="clear" w:color="auto" w:fill="FFFFFF"/>
              </w:rPr>
              <w:t>元、暂列金额0元、暂估价0元。注：不得擅自改动工程量清单的不可竞争费用绿色施工安全防护措施费、暂列金额、暂估价，否则视为无效报价</w:t>
            </w:r>
          </w:p>
        </w:tc>
      </w:tr>
    </w:tbl>
    <w:p>
      <w:pPr>
        <w:tabs>
          <w:tab w:val="left" w:pos="7740"/>
        </w:tabs>
        <w:adjustRightInd w:val="0"/>
        <w:snapToGrid w:val="0"/>
        <w:spacing w:line="360" w:lineRule="auto"/>
        <w:rPr>
          <w:rFonts w:hint="eastAsia"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pPr>
        <w:pStyle w:val="21"/>
        <w:numPr>
          <w:ilvl w:val="0"/>
          <w:numId w:val="17"/>
        </w:numPr>
        <w:shd w:val="clear" w:color="auto" w:fill="FFFFFF"/>
        <w:spacing w:before="0" w:beforeAutospacing="0" w:after="0" w:afterAutospacing="0" w:line="360" w:lineRule="auto"/>
        <w:ind w:left="0" w:firstLine="0"/>
        <w:rPr>
          <w:rFonts w:hint="eastAsia"/>
          <w:b/>
          <w:bCs/>
          <w:color w:val="000000" w:themeColor="text1"/>
          <w:sz w:val="21"/>
          <w:szCs w:val="21"/>
          <w:u w:val="single"/>
          <w14:textFill>
            <w14:solidFill>
              <w14:schemeClr w14:val="tx1"/>
            </w14:solidFill>
          </w14:textFill>
        </w:rPr>
      </w:pPr>
      <w:r>
        <w:rPr>
          <w:rFonts w:hint="eastAsia"/>
          <w:b/>
          <w:bCs/>
          <w:color w:val="000000" w:themeColor="text1"/>
          <w:sz w:val="21"/>
          <w:szCs w:val="21"/>
          <w:highlight w:val="yellow"/>
          <w:u w:val="single"/>
          <w14:textFill>
            <w14:solidFill>
              <w14:schemeClr w14:val="tx1"/>
            </w14:solidFill>
          </w14:textFill>
        </w:rPr>
        <w:t>供应商报价时须提供报价表和工程量清单的报价表PDF盖章版本以及Excel版本，共3份。</w:t>
      </w:r>
    </w:p>
    <w:p>
      <w:pPr>
        <w:pStyle w:val="21"/>
        <w:numPr>
          <w:ilvl w:val="0"/>
          <w:numId w:val="17"/>
        </w:numPr>
        <w:shd w:val="clear" w:color="auto" w:fill="FFFFFF"/>
        <w:spacing w:before="0" w:beforeAutospacing="0" w:after="0" w:afterAutospacing="0" w:line="360" w:lineRule="auto"/>
        <w:ind w:left="0" w:firstLine="0"/>
        <w:rPr>
          <w:rFonts w:hint="eastAsia"/>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供应商必须按报价表的格式填写，不得增加或删除表格内容。除金额或项目要求填写的内容外，不得擅自改动报价表内容，</w:t>
      </w:r>
      <w:r>
        <w:rPr>
          <w:rFonts w:hint="eastAsia"/>
          <w:b/>
          <w:bCs/>
          <w:color w:val="000000" w:themeColor="text1"/>
          <w:sz w:val="21"/>
          <w:szCs w:val="21"/>
          <w14:textFill>
            <w14:solidFill>
              <w14:schemeClr w14:val="tx1"/>
            </w14:solidFill>
          </w14:textFill>
        </w:rPr>
        <w:t>否则将有可能影响成交结果，不推荐为成交候选人</w:t>
      </w:r>
      <w:r>
        <w:rPr>
          <w:rFonts w:hint="eastAsia"/>
          <w:b/>
          <w:bCs/>
          <w:color w:val="000000" w:themeColor="text1"/>
          <w:sz w:val="21"/>
          <w:szCs w:val="21"/>
          <w:u w:val="single"/>
          <w14:textFill>
            <w14:solidFill>
              <w14:schemeClr w14:val="tx1"/>
            </w14:solidFill>
          </w14:textFill>
        </w:rPr>
        <w:t>；</w:t>
      </w:r>
    </w:p>
    <w:p>
      <w:pPr>
        <w:pStyle w:val="21"/>
        <w:numPr>
          <w:ilvl w:val="0"/>
          <w:numId w:val="17"/>
        </w:numPr>
        <w:shd w:val="clear" w:color="auto" w:fill="FFFFFF"/>
        <w:spacing w:before="0" w:beforeAutospacing="0" w:after="0" w:afterAutospacing="0" w:line="360" w:lineRule="auto"/>
        <w:ind w:left="0" w:firstLine="0"/>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均为含税价，保留小数点后2位</w:t>
      </w:r>
      <w:r>
        <w:rPr>
          <w:rFonts w:hint="eastAsia"/>
          <w:b/>
          <w:color w:val="000000" w:themeColor="text1"/>
          <w:sz w:val="21"/>
          <w:szCs w:val="21"/>
          <w14:textFill>
            <w14:solidFill>
              <w14:schemeClr w14:val="tx1"/>
            </w14:solidFill>
          </w14:textFill>
        </w:rPr>
        <w:t>；</w:t>
      </w:r>
    </w:p>
    <w:p>
      <w:pPr>
        <w:pStyle w:val="21"/>
        <w:numPr>
          <w:ilvl w:val="0"/>
          <w:numId w:val="17"/>
        </w:numPr>
        <w:shd w:val="clear" w:color="auto" w:fill="FFFFFF"/>
        <w:spacing w:line="360" w:lineRule="auto"/>
        <w:ind w:left="0" w:firstLine="0"/>
        <w:rPr>
          <w:rFonts w:hint="eastAsia"/>
          <w:b/>
          <w:bCs/>
          <w:color w:val="000000"/>
          <w:sz w:val="21"/>
          <w:szCs w:val="21"/>
          <w:u w:val="single"/>
          <w:shd w:val="clear" w:color="auto" w:fill="FFFFFF"/>
        </w:rPr>
      </w:pPr>
      <w:r>
        <w:rPr>
          <w:rFonts w:hint="eastAsia"/>
          <w:b/>
          <w:bCs/>
          <w:color w:val="000000"/>
          <w:sz w:val="21"/>
          <w:szCs w:val="21"/>
          <w:u w:val="single"/>
          <w:shd w:val="clear" w:color="auto" w:fill="FFFFFF"/>
        </w:rPr>
        <w:t>供应商所报单价金额不得超出两位小数，小计金额根据单价金额*数量计算得出，若的小计金额若超出两位小数则应进行四舍五入保留两位小数。</w:t>
      </w:r>
    </w:p>
    <w:p>
      <w:pPr>
        <w:pStyle w:val="21"/>
        <w:numPr>
          <w:ilvl w:val="0"/>
          <w:numId w:val="17"/>
        </w:numPr>
        <w:shd w:val="clear" w:color="auto" w:fill="FFFFFF"/>
        <w:spacing w:before="0" w:beforeAutospacing="0" w:after="0" w:afterAutospacing="0" w:line="360" w:lineRule="auto"/>
        <w:ind w:left="0" w:firstLine="0"/>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平台上报价与报价表报价不一致的，以报价表报价（经价格核准后的价格）为准。</w:t>
      </w:r>
    </w:p>
    <w:p>
      <w:pPr>
        <w:pStyle w:val="21"/>
        <w:numPr>
          <w:ilvl w:val="0"/>
          <w:numId w:val="17"/>
        </w:numPr>
        <w:shd w:val="clear" w:color="auto" w:fill="FFFFFF"/>
        <w:spacing w:before="0" w:beforeAutospacing="0" w:after="0" w:afterAutospacing="0" w:line="360" w:lineRule="auto"/>
        <w:ind w:left="0" w:firstLine="0"/>
        <w:rPr>
          <w:rFonts w:hint="eastAsia"/>
          <w:color w:val="000000" w:themeColor="text1"/>
          <w:spacing w:val="4"/>
          <w:szCs w:val="21"/>
          <w14:textFill>
            <w14:solidFill>
              <w14:schemeClr w14:val="tx1"/>
            </w14:solidFill>
          </w14:textFill>
        </w:rPr>
      </w:pPr>
      <w:r>
        <w:rPr>
          <w:rFonts w:hint="eastAsia"/>
          <w:b/>
          <w:bCs/>
          <w:color w:val="000000"/>
          <w:sz w:val="21"/>
          <w:szCs w:val="21"/>
          <w:u w:val="single"/>
          <w:shd w:val="clear" w:color="auto" w:fill="FFFFFF"/>
        </w:rPr>
        <w:t>供应商报价表必须加盖公章，否则视作无效报价。</w:t>
      </w:r>
    </w:p>
    <w:p>
      <w:pPr>
        <w:wordWrap w:val="0"/>
        <w:spacing w:line="360" w:lineRule="auto"/>
        <w:ind w:right="218"/>
        <w:jc w:val="right"/>
        <w:rPr>
          <w:rFonts w:hint="eastAsia"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right="218"/>
        <w:jc w:val="right"/>
        <w:rPr>
          <w:rFonts w:hint="eastAsia" w:ascii="宋体" w:hAnsi="宋体" w:eastAsia="宋体" w:cs="宋体"/>
          <w:color w:val="000000" w:themeColor="text1"/>
          <w:spacing w:val="4"/>
          <w:szCs w:val="21"/>
          <w:u w:val="single"/>
          <w14:textFill>
            <w14:solidFill>
              <w14:schemeClr w14:val="tx1"/>
            </w14:solidFill>
          </w14:textFill>
        </w:rPr>
      </w:pPr>
    </w:p>
    <w:p>
      <w:pPr>
        <w:wordWrap w:val="0"/>
        <w:spacing w:line="360" w:lineRule="auto"/>
        <w:ind w:right="218"/>
        <w:jc w:val="right"/>
        <w:rPr>
          <w:rFonts w:hint="eastAsia"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widowControl/>
        <w:jc w:val="left"/>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3"/>
        <w:spacing w:before="0"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用户需求书响应声明函</w:t>
      </w:r>
    </w:p>
    <w:p>
      <w:pPr>
        <w:spacing w:after="0"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致：广东省广裕集团清远滨江实业有限公司、</w:t>
      </w:r>
      <w:r>
        <w:rPr>
          <w:rFonts w:hint="eastAsia" w:ascii="宋体" w:hAnsi="宋体" w:eastAsia="宋体" w:cs="宋体"/>
          <w:b/>
          <w:color w:val="000000" w:themeColor="text1"/>
          <w14:textFill>
            <w14:solidFill>
              <w14:schemeClr w14:val="tx1"/>
            </w14:solidFill>
          </w14:textFill>
        </w:rPr>
        <w:t>采联国际招标采购集团有限公司</w:t>
      </w:r>
    </w:p>
    <w:p>
      <w:pPr>
        <w:spacing w:after="0" w:line="360" w:lineRule="auto"/>
        <w:rPr>
          <w:rFonts w:hint="eastAsia" w:ascii="宋体" w:hAnsi="宋体" w:eastAsia="宋体" w:cs="宋体"/>
          <w:b/>
          <w:color w:val="000000" w:themeColor="text1"/>
          <w:szCs w:val="21"/>
          <w14:textFill>
            <w14:solidFill>
              <w14:schemeClr w14:val="tx1"/>
            </w14:solidFill>
          </w14:textFill>
        </w:rPr>
      </w:pPr>
    </w:p>
    <w:p>
      <w:pPr>
        <w:snapToGrid w:val="0"/>
        <w:spacing w:after="0"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b/>
          <w:bCs/>
          <w:u w:val="single"/>
        </w:rPr>
        <w:t>广东省广裕集团清远滨江实业有限公司部分厂房负压风机采购及安装承揽项目</w:t>
      </w:r>
      <w:r>
        <w:rPr>
          <w:rFonts w:hint="eastAsia" w:ascii="宋体" w:hAnsi="宋体" w:eastAsia="宋体" w:cs="宋体"/>
          <w:b/>
          <w:bCs/>
          <w:kern w:val="0"/>
          <w:szCs w:val="21"/>
          <w:u w:val="single"/>
          <w:lang w:eastAsia="zh-CN"/>
        </w:rPr>
        <w:t>（</w:t>
      </w:r>
      <w:r>
        <w:rPr>
          <w:rFonts w:hint="eastAsia" w:ascii="宋体" w:hAnsi="宋体" w:eastAsia="宋体" w:cs="宋体"/>
          <w:b/>
          <w:bCs/>
          <w:kern w:val="0"/>
          <w:szCs w:val="21"/>
          <w:u w:val="single"/>
          <w:lang w:val="en-US" w:eastAsia="zh-CN"/>
        </w:rPr>
        <w:t>第二次）</w:t>
      </w:r>
      <w:r>
        <w:rPr>
          <w:rFonts w:hint="eastAsia" w:ascii="宋体" w:hAnsi="宋体" w:eastAsia="宋体" w:cs="宋体"/>
          <w:color w:val="000000" w:themeColor="text1"/>
          <w:szCs w:val="21"/>
          <w14:textFill>
            <w14:solidFill>
              <w14:schemeClr w14:val="tx1"/>
            </w14:solidFill>
          </w14:textFill>
        </w:rPr>
        <w:t>的零散采购公告，本公司（企业）愿意参加采购活动，并作出如下声明：</w:t>
      </w:r>
    </w:p>
    <w:p>
      <w:pPr>
        <w:pStyle w:val="44"/>
        <w:tabs>
          <w:tab w:val="left" w:pos="426"/>
        </w:tabs>
        <w:snapToGrid w:val="0"/>
        <w:spacing w:after="0"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44"/>
        <w:tabs>
          <w:tab w:val="left" w:pos="426"/>
        </w:tabs>
        <w:snapToGrid w:val="0"/>
        <w:spacing w:after="0"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pacing w:after="0"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4"/>
        <w:numPr>
          <w:ilvl w:val="0"/>
          <w:numId w:val="18"/>
        </w:numPr>
        <w:autoSpaceDE w:val="0"/>
        <w:autoSpaceDN w:val="0"/>
        <w:adjustRightInd w:val="0"/>
        <w:spacing w:after="0"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4"/>
        <w:numPr>
          <w:ilvl w:val="0"/>
          <w:numId w:val="18"/>
        </w:numPr>
        <w:snapToGrid w:val="0"/>
        <w:spacing w:after="0" w:line="360" w:lineRule="auto"/>
        <w:ind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widowControl/>
        <w:spacing w:line="360" w:lineRule="auto"/>
        <w:jc w:val="left"/>
        <w:rPr>
          <w:rFonts w:hint="eastAsia" w:ascii="宋体" w:hAnsi="宋体" w:eastAsia="宋体" w:cs="宋体"/>
          <w:b/>
          <w:bCs/>
          <w:color w:val="000000" w:themeColor="text1"/>
          <w:kern w:val="0"/>
          <w:sz w:val="32"/>
          <w:szCs w:val="32"/>
          <w14:textFill>
            <w14:solidFill>
              <w14:schemeClr w14:val="tx1"/>
            </w14:solidFill>
          </w14:textFill>
        </w:rPr>
      </w:pPr>
    </w:p>
    <w:p>
      <w:pPr>
        <w:wordWrap w:val="0"/>
        <w:spacing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firstLine="105" w:firstLineChars="50"/>
        <w:jc w:val="right"/>
        <w:rPr>
          <w:rFonts w:hint="eastAsia" w:ascii="宋体" w:hAnsi="宋体" w:eastAsia="宋体" w:cs="宋体"/>
          <w:color w:val="000000" w:themeColor="text1"/>
          <w:szCs w:val="21"/>
          <w:u w:val="single"/>
          <w14:textFill>
            <w14:solidFill>
              <w14:schemeClr w14:val="tx1"/>
            </w14:solidFill>
          </w14:textFill>
        </w:rPr>
      </w:pPr>
    </w:p>
    <w:p>
      <w:pPr>
        <w:wordWrap w:val="0"/>
        <w:spacing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widowControl/>
        <w:spacing w:line="360" w:lineRule="auto"/>
        <w:jc w:val="right"/>
        <w:rPr>
          <w:rFonts w:hint="eastAsia" w:ascii="宋体" w:hAnsi="宋体" w:eastAsia="宋体" w:cs="宋体"/>
          <w:b/>
          <w:bCs/>
          <w:color w:val="000000" w:themeColor="text1"/>
          <w:kern w:val="0"/>
          <w:sz w:val="32"/>
          <w:szCs w:val="32"/>
          <w:lang w:val="zh-CN"/>
          <w14:textFill>
            <w14:solidFill>
              <w14:schemeClr w14:val="tx1"/>
            </w14:solidFill>
          </w14:textFill>
        </w:rPr>
      </w:pPr>
    </w:p>
    <w:p>
      <w:pPr>
        <w:widowControl/>
        <w:spacing w:line="360" w:lineRule="auto"/>
        <w:jc w:val="left"/>
        <w:rPr>
          <w:rFonts w:hint="eastAsia"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3"/>
        <w:spacing w:before="0"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pPr>
        <w:rPr>
          <w:rFonts w:hint="eastAsia" w:ascii="宋体" w:hAnsi="宋体" w:eastAsia="宋体" w:cs="宋体"/>
          <w:b/>
          <w:color w:val="000000" w:themeColor="text1"/>
          <w:szCs w:val="24"/>
          <w14:textFill>
            <w14:solidFill>
              <w14:schemeClr w14:val="tx1"/>
            </w14:solidFill>
          </w14:textFill>
        </w:rPr>
      </w:pPr>
    </w:p>
    <w:p>
      <w:pPr>
        <w:spacing w:after="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广东省广裕集团清远滨江实业有限公司、</w:t>
      </w:r>
      <w:r>
        <w:rPr>
          <w:rFonts w:hint="eastAsia" w:ascii="宋体" w:hAnsi="宋体" w:eastAsia="宋体" w:cs="宋体"/>
          <w:b/>
          <w:color w:val="000000" w:themeColor="text1"/>
          <w14:textFill>
            <w14:solidFill>
              <w14:schemeClr w14:val="tx1"/>
            </w14:solidFill>
          </w14:textFill>
        </w:rPr>
        <w:t>采联国际招标采购集团有限公司</w:t>
      </w:r>
    </w:p>
    <w:p>
      <w:pPr>
        <w:spacing w:after="0" w:line="360" w:lineRule="auto"/>
        <w:rPr>
          <w:rFonts w:hint="eastAsia" w:ascii="宋体" w:hAnsi="宋体" w:eastAsia="宋体" w:cs="宋体"/>
          <w:b/>
          <w:color w:val="000000" w:themeColor="text1"/>
          <w:szCs w:val="24"/>
          <w14:textFill>
            <w14:solidFill>
              <w14:schemeClr w14:val="tx1"/>
            </w14:solidFill>
          </w14:textFill>
        </w:rPr>
      </w:pPr>
    </w:p>
    <w:p>
      <w:pPr>
        <w:snapToGrid w:val="0"/>
        <w:spacing w:after="0" w:line="360" w:lineRule="auto"/>
        <w:ind w:firstLine="424" w:firstLineChars="202"/>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b/>
          <w:bCs/>
          <w:u w:val="single"/>
        </w:rPr>
        <w:t>广东省广裕集团清远滨江实业有限公司部分厂房负压风机采购及安装承揽项目</w:t>
      </w:r>
      <w:r>
        <w:rPr>
          <w:rFonts w:hint="eastAsia" w:ascii="宋体" w:hAnsi="宋体" w:eastAsia="宋体" w:cs="宋体"/>
          <w:b/>
          <w:bCs/>
          <w:kern w:val="0"/>
          <w:szCs w:val="21"/>
          <w:u w:val="single"/>
          <w:lang w:eastAsia="zh-CN"/>
        </w:rPr>
        <w:t>（</w:t>
      </w:r>
      <w:r>
        <w:rPr>
          <w:rFonts w:hint="eastAsia" w:ascii="宋体" w:hAnsi="宋体" w:eastAsia="宋体" w:cs="宋体"/>
          <w:b/>
          <w:bCs/>
          <w:kern w:val="0"/>
          <w:szCs w:val="21"/>
          <w:u w:val="single"/>
          <w:lang w:val="en-US" w:eastAsia="zh-CN"/>
        </w:rPr>
        <w:t>第二次）</w:t>
      </w:r>
      <w:r>
        <w:rPr>
          <w:rFonts w:hint="eastAsia" w:ascii="宋体" w:hAnsi="宋体" w:eastAsia="宋体" w:cs="宋体"/>
          <w:color w:val="000000" w:themeColor="text1"/>
          <w:szCs w:val="24"/>
          <w14:textFill>
            <w14:solidFill>
              <w14:schemeClr w14:val="tx1"/>
            </w14:solidFill>
          </w14:textFill>
        </w:rPr>
        <w:t>的零散采购公告，本公司（企业）愿意参加采购活动，并作出如下声明：</w:t>
      </w:r>
    </w:p>
    <w:p>
      <w:pPr>
        <w:numPr>
          <w:ilvl w:val="0"/>
          <w:numId w:val="19"/>
        </w:numPr>
        <w:snapToGrid w:val="0"/>
        <w:spacing w:after="0" w:line="360" w:lineRule="auto"/>
        <w:rPr>
          <w:rFonts w:hint="eastAsia" w:ascii="宋体" w:hAnsi="宋体" w:eastAsia="宋体" w:cs="宋体"/>
          <w:bCs/>
          <w:color w:val="000000" w:themeColor="text1"/>
          <w:szCs w:val="20"/>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w:t>
      </w:r>
      <w:r>
        <w:rPr>
          <w:rFonts w:hint="eastAsia" w:ascii="宋体" w:hAnsi="宋体" w:eastAsia="宋体" w:cs="宋体"/>
          <w:bCs/>
          <w:color w:val="000000" w:themeColor="text1"/>
          <w:szCs w:val="20"/>
          <w14:textFill>
            <w14:solidFill>
              <w14:schemeClr w14:val="tx1"/>
            </w14:solidFill>
          </w14:textFill>
        </w:rPr>
        <w:t>具备《中华人民共和国政府采购法》第二十二条规定的条件：</w:t>
      </w:r>
    </w:p>
    <w:p>
      <w:pPr>
        <w:widowControl/>
        <w:spacing w:after="0" w:line="360" w:lineRule="auto"/>
        <w:ind w:firstLine="36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（一）具有独立承担民事责任的能力；</w:t>
      </w:r>
    </w:p>
    <w:p>
      <w:pPr>
        <w:widowControl/>
        <w:spacing w:after="0" w:line="360" w:lineRule="auto"/>
        <w:ind w:firstLine="36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（二）具有良好的商业信誉和健全的财务会计制度； </w:t>
      </w:r>
    </w:p>
    <w:p>
      <w:pPr>
        <w:widowControl/>
        <w:spacing w:after="0" w:line="360" w:lineRule="auto"/>
        <w:ind w:firstLine="36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（三）具有履行合同所必需的设备和专业技术能力；</w:t>
      </w:r>
    </w:p>
    <w:p>
      <w:pPr>
        <w:widowControl/>
        <w:spacing w:after="0" w:line="360" w:lineRule="auto"/>
        <w:ind w:firstLine="36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（四）有依法缴纳税收和社会保障资金的良好记录；</w:t>
      </w:r>
    </w:p>
    <w:p>
      <w:pPr>
        <w:widowControl/>
        <w:spacing w:after="0" w:line="360" w:lineRule="auto"/>
        <w:ind w:firstLine="36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（五）参加政府采购活动前三年内，在经营活动中没有重大违法记录；</w:t>
      </w:r>
    </w:p>
    <w:p>
      <w:pPr>
        <w:widowControl/>
        <w:spacing w:after="0" w:line="360" w:lineRule="auto"/>
        <w:ind w:firstLine="36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（六）法律、行政法规规定的其他条件。</w:t>
      </w:r>
    </w:p>
    <w:p>
      <w:pPr>
        <w:numPr>
          <w:ilvl w:val="0"/>
          <w:numId w:val="19"/>
        </w:numPr>
        <w:snapToGrid w:val="0"/>
        <w:spacing w:after="0" w:line="360" w:lineRule="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本公司（企业）具有本次采购项目供货及服务能力。</w:t>
      </w:r>
    </w:p>
    <w:p>
      <w:pPr>
        <w:numPr>
          <w:ilvl w:val="0"/>
          <w:numId w:val="19"/>
        </w:numPr>
        <w:snapToGrid w:val="0"/>
        <w:spacing w:after="0" w:line="360" w:lineRule="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本公司（企业）有固定的经营场所，信誉良好、售后维护服务好，并且在经营活动中无严重违法记录。</w:t>
      </w:r>
    </w:p>
    <w:p>
      <w:pPr>
        <w:numPr>
          <w:ilvl w:val="0"/>
          <w:numId w:val="19"/>
        </w:numPr>
        <w:snapToGrid w:val="0"/>
        <w:spacing w:after="0" w:line="360" w:lineRule="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本公司（企业）没有为采购项目同一合同项下提供整体设计、规范编制或者项目管理、监理、检测等服务。</w:t>
      </w:r>
    </w:p>
    <w:p>
      <w:pPr>
        <w:numPr>
          <w:ilvl w:val="0"/>
          <w:numId w:val="19"/>
        </w:numPr>
        <w:snapToGrid w:val="0"/>
        <w:spacing w:after="0" w:line="360" w:lineRule="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w:t>
      </w:r>
    </w:p>
    <w:p>
      <w:pPr>
        <w:numPr>
          <w:ilvl w:val="0"/>
          <w:numId w:val="19"/>
        </w:numPr>
        <w:snapToGrid w:val="0"/>
        <w:spacing w:after="0" w:line="360" w:lineRule="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本公司（企业）在本项目中不分包、转包且不联合参与零散采购。</w:t>
      </w:r>
    </w:p>
    <w:p>
      <w:pPr>
        <w:snapToGrid w:val="0"/>
        <w:spacing w:after="0" w:line="360" w:lineRule="auto"/>
        <w:ind w:firstLine="424" w:firstLineChars="202"/>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本公司（企业）承诺在本次采购活动中，如有违法、违规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弄虚作假行为，所造成的损失、不良后果及法律责任，一律由我公司（企业）承担。</w:t>
      </w:r>
    </w:p>
    <w:p>
      <w:pPr>
        <w:spacing w:after="0" w:line="360" w:lineRule="auto"/>
        <w:ind w:firstLine="42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特此声明！</w:t>
      </w:r>
    </w:p>
    <w:p>
      <w:pPr>
        <w:autoSpaceDE w:val="0"/>
        <w:autoSpaceDN w:val="0"/>
        <w:adjustRightInd w:val="0"/>
        <w:spacing w:after="0"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4"/>
        <w:numPr>
          <w:ilvl w:val="0"/>
          <w:numId w:val="20"/>
        </w:numPr>
        <w:autoSpaceDE w:val="0"/>
        <w:autoSpaceDN w:val="0"/>
        <w:adjustRightInd w:val="0"/>
        <w:spacing w:after="0" w:line="360" w:lineRule="auto"/>
        <w:ind w:left="1196" w:hanging="357"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4"/>
        <w:numPr>
          <w:ilvl w:val="0"/>
          <w:numId w:val="20"/>
        </w:numPr>
        <w:snapToGrid w:val="0"/>
        <w:spacing w:after="0" w:line="360" w:lineRule="auto"/>
        <w:ind w:left="1196" w:hanging="357"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pStyle w:val="34"/>
        <w:wordWrap w:val="0"/>
        <w:spacing w:line="360" w:lineRule="auto"/>
        <w:ind w:left="1200" w:right="218" w:firstLine="0" w:firstLineChars="0"/>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34"/>
        <w:wordWrap w:val="0"/>
        <w:spacing w:line="360" w:lineRule="auto"/>
        <w:ind w:left="1200" w:right="218" w:firstLine="0" w:firstLineChars="0"/>
        <w:jc w:val="right"/>
        <w:rPr>
          <w:rFonts w:hint="eastAsia"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sectPr>
      <w:headerReference r:id="rId4" w:type="first"/>
      <w:headerReference r:id="rId3" w:type="default"/>
      <w:type w:val="continuous"/>
      <w:pgSz w:w="11906" w:h="16838"/>
      <w:pgMar w:top="1417" w:right="1800" w:bottom="1417" w:left="180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5C16E6"/>
    <w:multiLevelType w:val="multilevel"/>
    <w:tmpl w:val="B05C16E6"/>
    <w:lvl w:ilvl="0" w:tentative="0">
      <w:start w:val="1"/>
      <w:numFmt w:val="japaneseCounting"/>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2">
    <w:nsid w:val="F4E25012"/>
    <w:multiLevelType w:val="multilevel"/>
    <w:tmpl w:val="F4E25012"/>
    <w:lvl w:ilvl="0" w:tentative="0">
      <w:start w:val="1"/>
      <w:numFmt w:val="chineseCountingThousand"/>
      <w:suff w:val="nothing"/>
      <w:lvlText w:val="%1、"/>
      <w:lvlJc w:val="left"/>
      <w:pPr>
        <w:ind w:left="420" w:hanging="42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43"/>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35F15B9"/>
    <w:multiLevelType w:val="multilevel"/>
    <w:tmpl w:val="035F15B9"/>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0B805F6A"/>
    <w:multiLevelType w:val="multilevel"/>
    <w:tmpl w:val="0B805F6A"/>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8">
    <w:nsid w:val="1BB7620F"/>
    <w:multiLevelType w:val="multilevel"/>
    <w:tmpl w:val="1BB7620F"/>
    <w:lvl w:ilvl="0" w:tentative="0">
      <w:start w:val="3"/>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2">
    <w:nsid w:val="34433F59"/>
    <w:multiLevelType w:val="multilevel"/>
    <w:tmpl w:val="34433F59"/>
    <w:lvl w:ilvl="0" w:tentative="0">
      <w:start w:val="1"/>
      <w:numFmt w:val="chineseCountingThousand"/>
      <w:suff w:val="nothing"/>
      <w:lvlText w:val="(%1)"/>
      <w:lvlJc w:val="left"/>
      <w:pPr>
        <w:ind w:left="420" w:hanging="420"/>
      </w:pPr>
      <w:rPr>
        <w:rFonts w:hint="eastAsia"/>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6">
    <w:nsid w:val="596530A1"/>
    <w:multiLevelType w:val="multilevel"/>
    <w:tmpl w:val="596530A1"/>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5D8CEBC3"/>
    <w:multiLevelType w:val="singleLevel"/>
    <w:tmpl w:val="5D8CEBC3"/>
    <w:lvl w:ilvl="0" w:tentative="0">
      <w:start w:val="1"/>
      <w:numFmt w:val="decimal"/>
      <w:suff w:val="nothing"/>
      <w:lvlText w:val="%1."/>
      <w:lvlJc w:val="left"/>
      <w:pPr>
        <w:ind w:left="425" w:hanging="425"/>
      </w:pPr>
      <w:rPr>
        <w:rFonts w:hint="default"/>
      </w:rPr>
    </w:lvl>
  </w:abstractNum>
  <w:abstractNum w:abstractNumId="18">
    <w:nsid w:val="62D43DCB"/>
    <w:multiLevelType w:val="multilevel"/>
    <w:tmpl w:val="62D43DCB"/>
    <w:lvl w:ilvl="0" w:tentative="0">
      <w:start w:val="1"/>
      <w:numFmt w:val="decimal"/>
      <w:suff w:val="nothing"/>
      <w:lvlText w:val="%1."/>
      <w:lvlJc w:val="left"/>
      <w:pPr>
        <w:ind w:left="440" w:hanging="440"/>
      </w:pPr>
      <w:rPr>
        <w:rFonts w:hint="eastAsia"/>
      </w:rPr>
    </w:lvl>
    <w:lvl w:ilvl="1" w:tentative="0">
      <w:start w:val="5"/>
      <w:numFmt w:val="japaneseCounting"/>
      <w:lvlText w:val="%2、"/>
      <w:lvlJc w:val="left"/>
      <w:pPr>
        <w:ind w:left="850" w:hanging="41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6E19083E"/>
    <w:multiLevelType w:val="multilevel"/>
    <w:tmpl w:val="6E19083E"/>
    <w:lvl w:ilvl="0" w:tentative="0">
      <w:start w:val="1"/>
      <w:numFmt w:val="decimal"/>
      <w:suff w:val="nothing"/>
      <w:lvlText w:val="%1."/>
      <w:lvlJc w:val="left"/>
      <w:pPr>
        <w:ind w:left="420" w:hanging="420"/>
      </w:pPr>
      <w:rPr>
        <w:rFonts w:hint="default"/>
        <w:b/>
        <w:bCs/>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3"/>
  </w:num>
  <w:num w:numId="2">
    <w:abstractNumId w:val="0"/>
  </w:num>
  <w:num w:numId="3">
    <w:abstractNumId w:val="12"/>
  </w:num>
  <w:num w:numId="4">
    <w:abstractNumId w:val="13"/>
  </w:num>
  <w:num w:numId="5">
    <w:abstractNumId w:val="9"/>
  </w:num>
  <w:num w:numId="6">
    <w:abstractNumId w:val="4"/>
  </w:num>
  <w:num w:numId="7">
    <w:abstractNumId w:val="7"/>
  </w:num>
  <w:num w:numId="8">
    <w:abstractNumId w:val="5"/>
  </w:num>
  <w:num w:numId="9">
    <w:abstractNumId w:val="6"/>
  </w:num>
  <w:num w:numId="10">
    <w:abstractNumId w:val="14"/>
  </w:num>
  <w:num w:numId="11">
    <w:abstractNumId w:val="10"/>
  </w:num>
  <w:num w:numId="12">
    <w:abstractNumId w:val="2"/>
  </w:num>
  <w:num w:numId="13">
    <w:abstractNumId w:val="17"/>
  </w:num>
  <w:num w:numId="14">
    <w:abstractNumId w:val="18"/>
  </w:num>
  <w:num w:numId="1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1"/>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MTQ1N2NiYWJhNmE3MmJmNjczYjE3MmE0Mzc5ZDEifQ=="/>
  </w:docVars>
  <w:rsids>
    <w:rsidRoot w:val="00603670"/>
    <w:rsid w:val="0000298A"/>
    <w:rsid w:val="00011A82"/>
    <w:rsid w:val="000163AB"/>
    <w:rsid w:val="00027036"/>
    <w:rsid w:val="000336C2"/>
    <w:rsid w:val="0003523B"/>
    <w:rsid w:val="00042B6B"/>
    <w:rsid w:val="000431C9"/>
    <w:rsid w:val="00045E6F"/>
    <w:rsid w:val="00050534"/>
    <w:rsid w:val="00051BED"/>
    <w:rsid w:val="00051CB2"/>
    <w:rsid w:val="00053978"/>
    <w:rsid w:val="000565F1"/>
    <w:rsid w:val="0006472A"/>
    <w:rsid w:val="00072D57"/>
    <w:rsid w:val="000749D9"/>
    <w:rsid w:val="00075391"/>
    <w:rsid w:val="00082CDE"/>
    <w:rsid w:val="00083BE6"/>
    <w:rsid w:val="00086BDC"/>
    <w:rsid w:val="000A2EE9"/>
    <w:rsid w:val="000B040C"/>
    <w:rsid w:val="000B3F59"/>
    <w:rsid w:val="000C5ABD"/>
    <w:rsid w:val="000C6713"/>
    <w:rsid w:val="000D1658"/>
    <w:rsid w:val="000E09F6"/>
    <w:rsid w:val="000E1199"/>
    <w:rsid w:val="000E2971"/>
    <w:rsid w:val="000E4C42"/>
    <w:rsid w:val="000F1249"/>
    <w:rsid w:val="000F423D"/>
    <w:rsid w:val="00107E2D"/>
    <w:rsid w:val="0011556A"/>
    <w:rsid w:val="00116EDF"/>
    <w:rsid w:val="00123BEA"/>
    <w:rsid w:val="001304CF"/>
    <w:rsid w:val="00140AD2"/>
    <w:rsid w:val="00143DFC"/>
    <w:rsid w:val="00145AE8"/>
    <w:rsid w:val="001471AF"/>
    <w:rsid w:val="00152592"/>
    <w:rsid w:val="0016171E"/>
    <w:rsid w:val="001746BF"/>
    <w:rsid w:val="00175ECB"/>
    <w:rsid w:val="001775AE"/>
    <w:rsid w:val="00182BE9"/>
    <w:rsid w:val="001863E0"/>
    <w:rsid w:val="00193734"/>
    <w:rsid w:val="001A0DDF"/>
    <w:rsid w:val="001A769F"/>
    <w:rsid w:val="001B09B1"/>
    <w:rsid w:val="001B0A70"/>
    <w:rsid w:val="001B5994"/>
    <w:rsid w:val="001B74DB"/>
    <w:rsid w:val="001C071E"/>
    <w:rsid w:val="001C3D61"/>
    <w:rsid w:val="001C43C7"/>
    <w:rsid w:val="001C6BE3"/>
    <w:rsid w:val="001D1026"/>
    <w:rsid w:val="001D33E6"/>
    <w:rsid w:val="001D3E3B"/>
    <w:rsid w:val="001E48AC"/>
    <w:rsid w:val="001E5C33"/>
    <w:rsid w:val="001F3F8C"/>
    <w:rsid w:val="002054C5"/>
    <w:rsid w:val="002056C6"/>
    <w:rsid w:val="00206B75"/>
    <w:rsid w:val="00220312"/>
    <w:rsid w:val="0022718A"/>
    <w:rsid w:val="002379C7"/>
    <w:rsid w:val="0024390D"/>
    <w:rsid w:val="00251790"/>
    <w:rsid w:val="00253352"/>
    <w:rsid w:val="00262DAA"/>
    <w:rsid w:val="0026399A"/>
    <w:rsid w:val="002674A4"/>
    <w:rsid w:val="0026778F"/>
    <w:rsid w:val="00270E13"/>
    <w:rsid w:val="00274FF8"/>
    <w:rsid w:val="00283853"/>
    <w:rsid w:val="00283A1B"/>
    <w:rsid w:val="00284E8F"/>
    <w:rsid w:val="002920CA"/>
    <w:rsid w:val="002952CA"/>
    <w:rsid w:val="002A115A"/>
    <w:rsid w:val="002A1D82"/>
    <w:rsid w:val="002A1FE5"/>
    <w:rsid w:val="002A2E66"/>
    <w:rsid w:val="002A50F6"/>
    <w:rsid w:val="002B2992"/>
    <w:rsid w:val="002B4DF8"/>
    <w:rsid w:val="002B6EEB"/>
    <w:rsid w:val="002C45C3"/>
    <w:rsid w:val="002C7CC8"/>
    <w:rsid w:val="002D21DE"/>
    <w:rsid w:val="002D4EBD"/>
    <w:rsid w:val="002D5B83"/>
    <w:rsid w:val="002E0263"/>
    <w:rsid w:val="002E5F86"/>
    <w:rsid w:val="002E61D3"/>
    <w:rsid w:val="002E66A9"/>
    <w:rsid w:val="002F352E"/>
    <w:rsid w:val="002F4A33"/>
    <w:rsid w:val="002F5E67"/>
    <w:rsid w:val="00307E18"/>
    <w:rsid w:val="0031356B"/>
    <w:rsid w:val="00327C22"/>
    <w:rsid w:val="00332AF3"/>
    <w:rsid w:val="00336F07"/>
    <w:rsid w:val="00342E19"/>
    <w:rsid w:val="0035105F"/>
    <w:rsid w:val="00355F34"/>
    <w:rsid w:val="00361074"/>
    <w:rsid w:val="00366797"/>
    <w:rsid w:val="00373688"/>
    <w:rsid w:val="003818F2"/>
    <w:rsid w:val="00383905"/>
    <w:rsid w:val="00384761"/>
    <w:rsid w:val="00392847"/>
    <w:rsid w:val="00393D24"/>
    <w:rsid w:val="00394537"/>
    <w:rsid w:val="00395A64"/>
    <w:rsid w:val="00395C9C"/>
    <w:rsid w:val="00396F62"/>
    <w:rsid w:val="003A047F"/>
    <w:rsid w:val="003B0A20"/>
    <w:rsid w:val="003B48C0"/>
    <w:rsid w:val="003B5D20"/>
    <w:rsid w:val="003C419C"/>
    <w:rsid w:val="003D2DE8"/>
    <w:rsid w:val="003D3C42"/>
    <w:rsid w:val="003D6214"/>
    <w:rsid w:val="003E273C"/>
    <w:rsid w:val="003F38D5"/>
    <w:rsid w:val="00403AB2"/>
    <w:rsid w:val="00412749"/>
    <w:rsid w:val="004211A3"/>
    <w:rsid w:val="00425F66"/>
    <w:rsid w:val="00426367"/>
    <w:rsid w:val="0042728A"/>
    <w:rsid w:val="0043108E"/>
    <w:rsid w:val="00431BF0"/>
    <w:rsid w:val="00431DBE"/>
    <w:rsid w:val="004325AD"/>
    <w:rsid w:val="00433B9F"/>
    <w:rsid w:val="004347BA"/>
    <w:rsid w:val="004504C1"/>
    <w:rsid w:val="00454D97"/>
    <w:rsid w:val="00456ED5"/>
    <w:rsid w:val="00457073"/>
    <w:rsid w:val="0045760A"/>
    <w:rsid w:val="004610D7"/>
    <w:rsid w:val="004613B9"/>
    <w:rsid w:val="00463363"/>
    <w:rsid w:val="00464B7A"/>
    <w:rsid w:val="0047081D"/>
    <w:rsid w:val="004715E1"/>
    <w:rsid w:val="004765F8"/>
    <w:rsid w:val="00476745"/>
    <w:rsid w:val="00476899"/>
    <w:rsid w:val="00491492"/>
    <w:rsid w:val="00492B35"/>
    <w:rsid w:val="00493336"/>
    <w:rsid w:val="00494623"/>
    <w:rsid w:val="00496883"/>
    <w:rsid w:val="004A36A8"/>
    <w:rsid w:val="004B4136"/>
    <w:rsid w:val="004B57DA"/>
    <w:rsid w:val="004B7182"/>
    <w:rsid w:val="004D2165"/>
    <w:rsid w:val="004D2A3E"/>
    <w:rsid w:val="004D491B"/>
    <w:rsid w:val="004D6D34"/>
    <w:rsid w:val="004E3790"/>
    <w:rsid w:val="004E5898"/>
    <w:rsid w:val="004E6B8B"/>
    <w:rsid w:val="004F1479"/>
    <w:rsid w:val="004F3B99"/>
    <w:rsid w:val="00501334"/>
    <w:rsid w:val="00501F2E"/>
    <w:rsid w:val="00521996"/>
    <w:rsid w:val="00522280"/>
    <w:rsid w:val="005316BD"/>
    <w:rsid w:val="00533B92"/>
    <w:rsid w:val="00534F6E"/>
    <w:rsid w:val="00535EEC"/>
    <w:rsid w:val="00540FFD"/>
    <w:rsid w:val="005456E9"/>
    <w:rsid w:val="005462F7"/>
    <w:rsid w:val="005521A5"/>
    <w:rsid w:val="00555B34"/>
    <w:rsid w:val="00565168"/>
    <w:rsid w:val="005656FE"/>
    <w:rsid w:val="005678E8"/>
    <w:rsid w:val="00572B62"/>
    <w:rsid w:val="00577172"/>
    <w:rsid w:val="00581DC6"/>
    <w:rsid w:val="00584403"/>
    <w:rsid w:val="00584FF5"/>
    <w:rsid w:val="00585A83"/>
    <w:rsid w:val="00591BC0"/>
    <w:rsid w:val="005922A5"/>
    <w:rsid w:val="00593C7A"/>
    <w:rsid w:val="00597F72"/>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12B53"/>
    <w:rsid w:val="00614A92"/>
    <w:rsid w:val="00616532"/>
    <w:rsid w:val="00616AE3"/>
    <w:rsid w:val="00620F2C"/>
    <w:rsid w:val="00627F1C"/>
    <w:rsid w:val="0064715C"/>
    <w:rsid w:val="00653613"/>
    <w:rsid w:val="00655177"/>
    <w:rsid w:val="0066018A"/>
    <w:rsid w:val="0066106D"/>
    <w:rsid w:val="00662408"/>
    <w:rsid w:val="00667973"/>
    <w:rsid w:val="00673379"/>
    <w:rsid w:val="006779F7"/>
    <w:rsid w:val="00680244"/>
    <w:rsid w:val="006817FD"/>
    <w:rsid w:val="006923B3"/>
    <w:rsid w:val="006948F2"/>
    <w:rsid w:val="006A3560"/>
    <w:rsid w:val="006A51C8"/>
    <w:rsid w:val="006A61C8"/>
    <w:rsid w:val="006B056E"/>
    <w:rsid w:val="006B07B5"/>
    <w:rsid w:val="006B1BFB"/>
    <w:rsid w:val="006B764E"/>
    <w:rsid w:val="006C3B3E"/>
    <w:rsid w:val="006D213E"/>
    <w:rsid w:val="006D5FC6"/>
    <w:rsid w:val="006D788B"/>
    <w:rsid w:val="006D7E04"/>
    <w:rsid w:val="006E1001"/>
    <w:rsid w:val="006E758F"/>
    <w:rsid w:val="00700C51"/>
    <w:rsid w:val="00704006"/>
    <w:rsid w:val="00704031"/>
    <w:rsid w:val="00704C21"/>
    <w:rsid w:val="007056A1"/>
    <w:rsid w:val="007059E9"/>
    <w:rsid w:val="0071097B"/>
    <w:rsid w:val="007128C2"/>
    <w:rsid w:val="00713BF5"/>
    <w:rsid w:val="00715D44"/>
    <w:rsid w:val="00717FA5"/>
    <w:rsid w:val="007214B0"/>
    <w:rsid w:val="00721994"/>
    <w:rsid w:val="00724C40"/>
    <w:rsid w:val="00724E13"/>
    <w:rsid w:val="00726EDF"/>
    <w:rsid w:val="007334F9"/>
    <w:rsid w:val="007342B9"/>
    <w:rsid w:val="00741354"/>
    <w:rsid w:val="007440B0"/>
    <w:rsid w:val="007470DA"/>
    <w:rsid w:val="00761C9A"/>
    <w:rsid w:val="00762179"/>
    <w:rsid w:val="0076397D"/>
    <w:rsid w:val="00766BD6"/>
    <w:rsid w:val="00767D92"/>
    <w:rsid w:val="00772ED2"/>
    <w:rsid w:val="00773197"/>
    <w:rsid w:val="00781170"/>
    <w:rsid w:val="00781957"/>
    <w:rsid w:val="00783B9B"/>
    <w:rsid w:val="00786D28"/>
    <w:rsid w:val="00792EFC"/>
    <w:rsid w:val="00793437"/>
    <w:rsid w:val="0079465B"/>
    <w:rsid w:val="007B645B"/>
    <w:rsid w:val="007C2D7A"/>
    <w:rsid w:val="007C5792"/>
    <w:rsid w:val="007E26FA"/>
    <w:rsid w:val="007E29A9"/>
    <w:rsid w:val="007E3EDE"/>
    <w:rsid w:val="007F26F4"/>
    <w:rsid w:val="007F6B25"/>
    <w:rsid w:val="0080065E"/>
    <w:rsid w:val="008034FC"/>
    <w:rsid w:val="00803518"/>
    <w:rsid w:val="00811E08"/>
    <w:rsid w:val="00812470"/>
    <w:rsid w:val="008124C1"/>
    <w:rsid w:val="0082229E"/>
    <w:rsid w:val="00825FF0"/>
    <w:rsid w:val="00830919"/>
    <w:rsid w:val="00834B01"/>
    <w:rsid w:val="00847407"/>
    <w:rsid w:val="008537C7"/>
    <w:rsid w:val="008556E4"/>
    <w:rsid w:val="00856F2F"/>
    <w:rsid w:val="00867AAB"/>
    <w:rsid w:val="00875023"/>
    <w:rsid w:val="00881257"/>
    <w:rsid w:val="00882269"/>
    <w:rsid w:val="008A5110"/>
    <w:rsid w:val="008A7093"/>
    <w:rsid w:val="008A75A4"/>
    <w:rsid w:val="008B755A"/>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32E40"/>
    <w:rsid w:val="009367EE"/>
    <w:rsid w:val="00937F4D"/>
    <w:rsid w:val="00940CEB"/>
    <w:rsid w:val="00945388"/>
    <w:rsid w:val="00945FC8"/>
    <w:rsid w:val="0094675A"/>
    <w:rsid w:val="009500CB"/>
    <w:rsid w:val="00950D89"/>
    <w:rsid w:val="00965530"/>
    <w:rsid w:val="00966193"/>
    <w:rsid w:val="009666D4"/>
    <w:rsid w:val="00966E16"/>
    <w:rsid w:val="0097116F"/>
    <w:rsid w:val="00972C9D"/>
    <w:rsid w:val="00977403"/>
    <w:rsid w:val="00981FCF"/>
    <w:rsid w:val="009877F1"/>
    <w:rsid w:val="00990253"/>
    <w:rsid w:val="00991F41"/>
    <w:rsid w:val="009926F3"/>
    <w:rsid w:val="009975F2"/>
    <w:rsid w:val="009A21C0"/>
    <w:rsid w:val="009A4BF3"/>
    <w:rsid w:val="009B4D41"/>
    <w:rsid w:val="009C2224"/>
    <w:rsid w:val="009C2904"/>
    <w:rsid w:val="009C2D78"/>
    <w:rsid w:val="009C51EA"/>
    <w:rsid w:val="009D0859"/>
    <w:rsid w:val="009D4FC9"/>
    <w:rsid w:val="009E5075"/>
    <w:rsid w:val="009E5F7B"/>
    <w:rsid w:val="009E740F"/>
    <w:rsid w:val="009F104E"/>
    <w:rsid w:val="009F22AA"/>
    <w:rsid w:val="00A00875"/>
    <w:rsid w:val="00A042E3"/>
    <w:rsid w:val="00A0472A"/>
    <w:rsid w:val="00A13934"/>
    <w:rsid w:val="00A16824"/>
    <w:rsid w:val="00A16C1A"/>
    <w:rsid w:val="00A175F1"/>
    <w:rsid w:val="00A202CE"/>
    <w:rsid w:val="00A23426"/>
    <w:rsid w:val="00A258AD"/>
    <w:rsid w:val="00A30C64"/>
    <w:rsid w:val="00A35A63"/>
    <w:rsid w:val="00A40A8F"/>
    <w:rsid w:val="00A444BF"/>
    <w:rsid w:val="00A45A6D"/>
    <w:rsid w:val="00A71207"/>
    <w:rsid w:val="00A74FF7"/>
    <w:rsid w:val="00A82740"/>
    <w:rsid w:val="00A90C12"/>
    <w:rsid w:val="00AA2719"/>
    <w:rsid w:val="00AA4A01"/>
    <w:rsid w:val="00AB53A9"/>
    <w:rsid w:val="00AB6105"/>
    <w:rsid w:val="00AC2AF9"/>
    <w:rsid w:val="00AC3FE3"/>
    <w:rsid w:val="00AD08E8"/>
    <w:rsid w:val="00AD3C05"/>
    <w:rsid w:val="00AD6219"/>
    <w:rsid w:val="00AE270A"/>
    <w:rsid w:val="00AE2F48"/>
    <w:rsid w:val="00AF1D6C"/>
    <w:rsid w:val="00AF3F18"/>
    <w:rsid w:val="00AF4372"/>
    <w:rsid w:val="00B0099A"/>
    <w:rsid w:val="00B047D8"/>
    <w:rsid w:val="00B06AE0"/>
    <w:rsid w:val="00B141DC"/>
    <w:rsid w:val="00B14A9E"/>
    <w:rsid w:val="00B16927"/>
    <w:rsid w:val="00B4687C"/>
    <w:rsid w:val="00B5406D"/>
    <w:rsid w:val="00B617FE"/>
    <w:rsid w:val="00B85FC9"/>
    <w:rsid w:val="00B9732A"/>
    <w:rsid w:val="00BA1245"/>
    <w:rsid w:val="00BA578C"/>
    <w:rsid w:val="00BB45E3"/>
    <w:rsid w:val="00BB566D"/>
    <w:rsid w:val="00BB5881"/>
    <w:rsid w:val="00BB67EB"/>
    <w:rsid w:val="00BC4505"/>
    <w:rsid w:val="00BC55F2"/>
    <w:rsid w:val="00BC697C"/>
    <w:rsid w:val="00BD3301"/>
    <w:rsid w:val="00BD4CD9"/>
    <w:rsid w:val="00BE25B2"/>
    <w:rsid w:val="00BF04FE"/>
    <w:rsid w:val="00BF568B"/>
    <w:rsid w:val="00C00098"/>
    <w:rsid w:val="00C02598"/>
    <w:rsid w:val="00C025B8"/>
    <w:rsid w:val="00C2026A"/>
    <w:rsid w:val="00C21B82"/>
    <w:rsid w:val="00C31252"/>
    <w:rsid w:val="00C32327"/>
    <w:rsid w:val="00C32CC6"/>
    <w:rsid w:val="00C368FE"/>
    <w:rsid w:val="00C40805"/>
    <w:rsid w:val="00C42972"/>
    <w:rsid w:val="00C455DD"/>
    <w:rsid w:val="00C46F9E"/>
    <w:rsid w:val="00C476C2"/>
    <w:rsid w:val="00C541C5"/>
    <w:rsid w:val="00C5646F"/>
    <w:rsid w:val="00C56A1C"/>
    <w:rsid w:val="00C574C8"/>
    <w:rsid w:val="00C65789"/>
    <w:rsid w:val="00C776A4"/>
    <w:rsid w:val="00C77C5A"/>
    <w:rsid w:val="00C83E6E"/>
    <w:rsid w:val="00C90DA1"/>
    <w:rsid w:val="00CA090A"/>
    <w:rsid w:val="00CA0CCB"/>
    <w:rsid w:val="00CA0FD7"/>
    <w:rsid w:val="00CC17D4"/>
    <w:rsid w:val="00CD047D"/>
    <w:rsid w:val="00CD0E4F"/>
    <w:rsid w:val="00CD143C"/>
    <w:rsid w:val="00CD57F2"/>
    <w:rsid w:val="00CD63A4"/>
    <w:rsid w:val="00CE71FC"/>
    <w:rsid w:val="00CF1761"/>
    <w:rsid w:val="00CF2666"/>
    <w:rsid w:val="00CF59AA"/>
    <w:rsid w:val="00D002F2"/>
    <w:rsid w:val="00D015A2"/>
    <w:rsid w:val="00D10E67"/>
    <w:rsid w:val="00D1210C"/>
    <w:rsid w:val="00D2020D"/>
    <w:rsid w:val="00D221F4"/>
    <w:rsid w:val="00D24487"/>
    <w:rsid w:val="00D270FB"/>
    <w:rsid w:val="00D30F45"/>
    <w:rsid w:val="00D32910"/>
    <w:rsid w:val="00D3402B"/>
    <w:rsid w:val="00D4308A"/>
    <w:rsid w:val="00D467C0"/>
    <w:rsid w:val="00D50B4D"/>
    <w:rsid w:val="00D533FC"/>
    <w:rsid w:val="00D56769"/>
    <w:rsid w:val="00D5796F"/>
    <w:rsid w:val="00D61271"/>
    <w:rsid w:val="00D61AD1"/>
    <w:rsid w:val="00D638E3"/>
    <w:rsid w:val="00D7179D"/>
    <w:rsid w:val="00D71805"/>
    <w:rsid w:val="00D72607"/>
    <w:rsid w:val="00D8277B"/>
    <w:rsid w:val="00D82EF0"/>
    <w:rsid w:val="00D834B2"/>
    <w:rsid w:val="00D902CA"/>
    <w:rsid w:val="00D94F6A"/>
    <w:rsid w:val="00D9501D"/>
    <w:rsid w:val="00D953AB"/>
    <w:rsid w:val="00D95437"/>
    <w:rsid w:val="00D95CB3"/>
    <w:rsid w:val="00D95FC8"/>
    <w:rsid w:val="00D96CBE"/>
    <w:rsid w:val="00DA5447"/>
    <w:rsid w:val="00DA58F6"/>
    <w:rsid w:val="00DA677A"/>
    <w:rsid w:val="00DD1F0C"/>
    <w:rsid w:val="00DD2C2A"/>
    <w:rsid w:val="00DD3557"/>
    <w:rsid w:val="00DD4221"/>
    <w:rsid w:val="00DE35FB"/>
    <w:rsid w:val="00DE5A19"/>
    <w:rsid w:val="00E005DD"/>
    <w:rsid w:val="00E01F9F"/>
    <w:rsid w:val="00E06F98"/>
    <w:rsid w:val="00E07AB9"/>
    <w:rsid w:val="00E12211"/>
    <w:rsid w:val="00E127FA"/>
    <w:rsid w:val="00E14FC1"/>
    <w:rsid w:val="00E24A26"/>
    <w:rsid w:val="00E255DD"/>
    <w:rsid w:val="00E300EB"/>
    <w:rsid w:val="00E33E2A"/>
    <w:rsid w:val="00E3421A"/>
    <w:rsid w:val="00E34EB3"/>
    <w:rsid w:val="00E363A8"/>
    <w:rsid w:val="00E4552F"/>
    <w:rsid w:val="00E456ED"/>
    <w:rsid w:val="00E52B0C"/>
    <w:rsid w:val="00E57C92"/>
    <w:rsid w:val="00E63355"/>
    <w:rsid w:val="00E70313"/>
    <w:rsid w:val="00E77D3C"/>
    <w:rsid w:val="00E81F84"/>
    <w:rsid w:val="00E84F37"/>
    <w:rsid w:val="00E90646"/>
    <w:rsid w:val="00E94445"/>
    <w:rsid w:val="00E96562"/>
    <w:rsid w:val="00EA08B8"/>
    <w:rsid w:val="00EA1D68"/>
    <w:rsid w:val="00EA6C46"/>
    <w:rsid w:val="00EB1BDE"/>
    <w:rsid w:val="00EB31E1"/>
    <w:rsid w:val="00EB3E5D"/>
    <w:rsid w:val="00EC2E50"/>
    <w:rsid w:val="00EC6A4D"/>
    <w:rsid w:val="00EC6B71"/>
    <w:rsid w:val="00ED5181"/>
    <w:rsid w:val="00EE154B"/>
    <w:rsid w:val="00EE203B"/>
    <w:rsid w:val="00EE22B8"/>
    <w:rsid w:val="00EE6332"/>
    <w:rsid w:val="00EE7439"/>
    <w:rsid w:val="00EF18DE"/>
    <w:rsid w:val="00EF1B95"/>
    <w:rsid w:val="00EF3265"/>
    <w:rsid w:val="00EF3416"/>
    <w:rsid w:val="00EF5F21"/>
    <w:rsid w:val="00F0386D"/>
    <w:rsid w:val="00F04B58"/>
    <w:rsid w:val="00F06A11"/>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546B0"/>
    <w:rsid w:val="00F6084D"/>
    <w:rsid w:val="00F61DA9"/>
    <w:rsid w:val="00F67ABD"/>
    <w:rsid w:val="00F705B7"/>
    <w:rsid w:val="00F71BEE"/>
    <w:rsid w:val="00F74919"/>
    <w:rsid w:val="00F75DCB"/>
    <w:rsid w:val="00F8075E"/>
    <w:rsid w:val="00F9371D"/>
    <w:rsid w:val="00FA5D03"/>
    <w:rsid w:val="00FB4120"/>
    <w:rsid w:val="00FC307F"/>
    <w:rsid w:val="00FC353C"/>
    <w:rsid w:val="00FD12C6"/>
    <w:rsid w:val="00FD56B9"/>
    <w:rsid w:val="00FE1170"/>
    <w:rsid w:val="00FE3A2F"/>
    <w:rsid w:val="00FE5D07"/>
    <w:rsid w:val="00FF04E2"/>
    <w:rsid w:val="00FF0ED7"/>
    <w:rsid w:val="00FF3F77"/>
    <w:rsid w:val="00FF424F"/>
    <w:rsid w:val="016A6C79"/>
    <w:rsid w:val="01702465"/>
    <w:rsid w:val="01E86F70"/>
    <w:rsid w:val="02181129"/>
    <w:rsid w:val="02CE4282"/>
    <w:rsid w:val="02E40D20"/>
    <w:rsid w:val="02E42FCA"/>
    <w:rsid w:val="02FC1A91"/>
    <w:rsid w:val="033112BB"/>
    <w:rsid w:val="03316E9F"/>
    <w:rsid w:val="03F3121B"/>
    <w:rsid w:val="04375C44"/>
    <w:rsid w:val="052B2EF5"/>
    <w:rsid w:val="05DA7B03"/>
    <w:rsid w:val="05ED15B8"/>
    <w:rsid w:val="05FB2573"/>
    <w:rsid w:val="062251E4"/>
    <w:rsid w:val="06327957"/>
    <w:rsid w:val="067C1BC2"/>
    <w:rsid w:val="06A03941"/>
    <w:rsid w:val="06B56F6B"/>
    <w:rsid w:val="06BA455D"/>
    <w:rsid w:val="06C04723"/>
    <w:rsid w:val="06FD3346"/>
    <w:rsid w:val="07560F7E"/>
    <w:rsid w:val="08210B4F"/>
    <w:rsid w:val="08380D9F"/>
    <w:rsid w:val="08450944"/>
    <w:rsid w:val="08C136B6"/>
    <w:rsid w:val="08E32A0F"/>
    <w:rsid w:val="090D12BC"/>
    <w:rsid w:val="0936476E"/>
    <w:rsid w:val="09476ADF"/>
    <w:rsid w:val="096B28E1"/>
    <w:rsid w:val="098413F8"/>
    <w:rsid w:val="09BC2FDC"/>
    <w:rsid w:val="09CF5276"/>
    <w:rsid w:val="09D75DE9"/>
    <w:rsid w:val="09ED2957"/>
    <w:rsid w:val="09F22026"/>
    <w:rsid w:val="0A117003"/>
    <w:rsid w:val="0A47106E"/>
    <w:rsid w:val="0A6F7AD4"/>
    <w:rsid w:val="0AD27DEA"/>
    <w:rsid w:val="0B2E303A"/>
    <w:rsid w:val="0B430904"/>
    <w:rsid w:val="0B515A26"/>
    <w:rsid w:val="0B571438"/>
    <w:rsid w:val="0C5602B0"/>
    <w:rsid w:val="0C72525B"/>
    <w:rsid w:val="0C96145B"/>
    <w:rsid w:val="0CBC3BE7"/>
    <w:rsid w:val="0CBE46E5"/>
    <w:rsid w:val="0D040750"/>
    <w:rsid w:val="0D18536E"/>
    <w:rsid w:val="0D335E61"/>
    <w:rsid w:val="0D5D1325"/>
    <w:rsid w:val="0D7807A2"/>
    <w:rsid w:val="0D8A1656"/>
    <w:rsid w:val="0DA67496"/>
    <w:rsid w:val="0DC1448E"/>
    <w:rsid w:val="0DE83E06"/>
    <w:rsid w:val="0E317E14"/>
    <w:rsid w:val="0E46090A"/>
    <w:rsid w:val="0E6D18B9"/>
    <w:rsid w:val="0EB2188B"/>
    <w:rsid w:val="0ED75C3A"/>
    <w:rsid w:val="0EDD0C64"/>
    <w:rsid w:val="10864BAF"/>
    <w:rsid w:val="10923864"/>
    <w:rsid w:val="10CA7EC9"/>
    <w:rsid w:val="10ED1E00"/>
    <w:rsid w:val="10F548A0"/>
    <w:rsid w:val="10FA25A7"/>
    <w:rsid w:val="11075A69"/>
    <w:rsid w:val="1110351D"/>
    <w:rsid w:val="112B19A0"/>
    <w:rsid w:val="114233DA"/>
    <w:rsid w:val="11493F48"/>
    <w:rsid w:val="11551A52"/>
    <w:rsid w:val="115A3E79"/>
    <w:rsid w:val="11B60016"/>
    <w:rsid w:val="11EA7CDE"/>
    <w:rsid w:val="11FA1155"/>
    <w:rsid w:val="127D190F"/>
    <w:rsid w:val="12AF2DD9"/>
    <w:rsid w:val="12B02B5B"/>
    <w:rsid w:val="12EA7C02"/>
    <w:rsid w:val="12FB03D7"/>
    <w:rsid w:val="130C51FA"/>
    <w:rsid w:val="13362245"/>
    <w:rsid w:val="13D0019E"/>
    <w:rsid w:val="13F34567"/>
    <w:rsid w:val="14347E1A"/>
    <w:rsid w:val="144249E3"/>
    <w:rsid w:val="146C6F48"/>
    <w:rsid w:val="149664B0"/>
    <w:rsid w:val="14EF039A"/>
    <w:rsid w:val="14F03EE3"/>
    <w:rsid w:val="159C2AA3"/>
    <w:rsid w:val="15A13F9D"/>
    <w:rsid w:val="15CF03BA"/>
    <w:rsid w:val="15E527F0"/>
    <w:rsid w:val="15EF7F09"/>
    <w:rsid w:val="15F32D11"/>
    <w:rsid w:val="16310E1E"/>
    <w:rsid w:val="169B6010"/>
    <w:rsid w:val="16AD27BB"/>
    <w:rsid w:val="16C15797"/>
    <w:rsid w:val="171470CF"/>
    <w:rsid w:val="17276DB1"/>
    <w:rsid w:val="172D6BB6"/>
    <w:rsid w:val="175956CC"/>
    <w:rsid w:val="178B3880"/>
    <w:rsid w:val="17F25AB9"/>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216E6C"/>
    <w:rsid w:val="1BE16AA3"/>
    <w:rsid w:val="1BE2748B"/>
    <w:rsid w:val="1BE740D4"/>
    <w:rsid w:val="1C0D7644"/>
    <w:rsid w:val="1C13053F"/>
    <w:rsid w:val="1C18719A"/>
    <w:rsid w:val="1C3A66DC"/>
    <w:rsid w:val="1C6B65D4"/>
    <w:rsid w:val="1C8F124D"/>
    <w:rsid w:val="1D1055B3"/>
    <w:rsid w:val="1D4E78C1"/>
    <w:rsid w:val="1D58705A"/>
    <w:rsid w:val="1E0625F1"/>
    <w:rsid w:val="1E3450D2"/>
    <w:rsid w:val="1E3B0316"/>
    <w:rsid w:val="1E670328"/>
    <w:rsid w:val="1EB24774"/>
    <w:rsid w:val="1ED136BD"/>
    <w:rsid w:val="1ED47F4C"/>
    <w:rsid w:val="1F0A3B6F"/>
    <w:rsid w:val="1F143A1A"/>
    <w:rsid w:val="1F48227E"/>
    <w:rsid w:val="1F790D8E"/>
    <w:rsid w:val="1F92627F"/>
    <w:rsid w:val="1FE118EA"/>
    <w:rsid w:val="200902A2"/>
    <w:rsid w:val="201560AF"/>
    <w:rsid w:val="2018233B"/>
    <w:rsid w:val="202C4BA0"/>
    <w:rsid w:val="2031368A"/>
    <w:rsid w:val="204D1ECB"/>
    <w:rsid w:val="20664287"/>
    <w:rsid w:val="206E0E34"/>
    <w:rsid w:val="20F37AF2"/>
    <w:rsid w:val="21037791"/>
    <w:rsid w:val="21D175BF"/>
    <w:rsid w:val="228E14B2"/>
    <w:rsid w:val="22F000F4"/>
    <w:rsid w:val="2343188A"/>
    <w:rsid w:val="234B76A4"/>
    <w:rsid w:val="23753379"/>
    <w:rsid w:val="240C5608"/>
    <w:rsid w:val="242E5DB2"/>
    <w:rsid w:val="2492592F"/>
    <w:rsid w:val="24B453FA"/>
    <w:rsid w:val="24BE3ED8"/>
    <w:rsid w:val="24DC02C5"/>
    <w:rsid w:val="251D5715"/>
    <w:rsid w:val="259D1B90"/>
    <w:rsid w:val="25BF29AE"/>
    <w:rsid w:val="25C76443"/>
    <w:rsid w:val="25F767DC"/>
    <w:rsid w:val="26496A09"/>
    <w:rsid w:val="26525F4D"/>
    <w:rsid w:val="26A91D83"/>
    <w:rsid w:val="26E1050A"/>
    <w:rsid w:val="26FF2829"/>
    <w:rsid w:val="27074763"/>
    <w:rsid w:val="27151420"/>
    <w:rsid w:val="27614470"/>
    <w:rsid w:val="27760C10"/>
    <w:rsid w:val="27D8088F"/>
    <w:rsid w:val="28154713"/>
    <w:rsid w:val="282B74A8"/>
    <w:rsid w:val="284726EB"/>
    <w:rsid w:val="28C419ED"/>
    <w:rsid w:val="28DF3FCB"/>
    <w:rsid w:val="297B1377"/>
    <w:rsid w:val="29B607F8"/>
    <w:rsid w:val="29D04C89"/>
    <w:rsid w:val="2A3730F5"/>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09239F"/>
    <w:rsid w:val="2F8B41C5"/>
    <w:rsid w:val="2FAF1ED5"/>
    <w:rsid w:val="2FB8401E"/>
    <w:rsid w:val="2FD110DF"/>
    <w:rsid w:val="2FD95850"/>
    <w:rsid w:val="3009348A"/>
    <w:rsid w:val="31496CA7"/>
    <w:rsid w:val="316E6392"/>
    <w:rsid w:val="32696F31"/>
    <w:rsid w:val="32A565BD"/>
    <w:rsid w:val="32A91D1A"/>
    <w:rsid w:val="32D37A29"/>
    <w:rsid w:val="336F2764"/>
    <w:rsid w:val="338428D6"/>
    <w:rsid w:val="344C3B08"/>
    <w:rsid w:val="34E70363"/>
    <w:rsid w:val="35335C58"/>
    <w:rsid w:val="35B41300"/>
    <w:rsid w:val="360040A7"/>
    <w:rsid w:val="3609309B"/>
    <w:rsid w:val="372E75BF"/>
    <w:rsid w:val="379F77B6"/>
    <w:rsid w:val="3852635E"/>
    <w:rsid w:val="390458AE"/>
    <w:rsid w:val="392803B0"/>
    <w:rsid w:val="39425EA4"/>
    <w:rsid w:val="39A45FA5"/>
    <w:rsid w:val="39AA6749"/>
    <w:rsid w:val="39FA04A7"/>
    <w:rsid w:val="3A23021F"/>
    <w:rsid w:val="3B490A10"/>
    <w:rsid w:val="3B864C9E"/>
    <w:rsid w:val="3B9260FC"/>
    <w:rsid w:val="3C4A1D69"/>
    <w:rsid w:val="3C964B49"/>
    <w:rsid w:val="3DB54D85"/>
    <w:rsid w:val="3DF257B2"/>
    <w:rsid w:val="3E7616F0"/>
    <w:rsid w:val="3EE37DED"/>
    <w:rsid w:val="3F025588"/>
    <w:rsid w:val="3F5B3E28"/>
    <w:rsid w:val="3F743372"/>
    <w:rsid w:val="40552625"/>
    <w:rsid w:val="40AB0D42"/>
    <w:rsid w:val="40E165C9"/>
    <w:rsid w:val="40E67721"/>
    <w:rsid w:val="413435BC"/>
    <w:rsid w:val="41701D64"/>
    <w:rsid w:val="41CC7D33"/>
    <w:rsid w:val="41DA1B40"/>
    <w:rsid w:val="41F14923"/>
    <w:rsid w:val="41FC16B9"/>
    <w:rsid w:val="42B57E03"/>
    <w:rsid w:val="42B85710"/>
    <w:rsid w:val="42EB76E2"/>
    <w:rsid w:val="42F4328A"/>
    <w:rsid w:val="435C3439"/>
    <w:rsid w:val="43784CFA"/>
    <w:rsid w:val="438D1DAF"/>
    <w:rsid w:val="439D3B2B"/>
    <w:rsid w:val="43A00300"/>
    <w:rsid w:val="44796D3B"/>
    <w:rsid w:val="44861074"/>
    <w:rsid w:val="44A2656B"/>
    <w:rsid w:val="44B32765"/>
    <w:rsid w:val="44FD4273"/>
    <w:rsid w:val="45091C52"/>
    <w:rsid w:val="450D6168"/>
    <w:rsid w:val="451F3201"/>
    <w:rsid w:val="452A026D"/>
    <w:rsid w:val="456816EF"/>
    <w:rsid w:val="458A7AA7"/>
    <w:rsid w:val="458F0387"/>
    <w:rsid w:val="45E345BD"/>
    <w:rsid w:val="45FB2764"/>
    <w:rsid w:val="464E468D"/>
    <w:rsid w:val="46A3378F"/>
    <w:rsid w:val="46BA6A35"/>
    <w:rsid w:val="46C3379F"/>
    <w:rsid w:val="46EB5A91"/>
    <w:rsid w:val="4755115C"/>
    <w:rsid w:val="47562682"/>
    <w:rsid w:val="476A0C71"/>
    <w:rsid w:val="476E7816"/>
    <w:rsid w:val="47972728"/>
    <w:rsid w:val="47DB5B06"/>
    <w:rsid w:val="483A21D4"/>
    <w:rsid w:val="4844347B"/>
    <w:rsid w:val="48B546B5"/>
    <w:rsid w:val="48BB1A0F"/>
    <w:rsid w:val="48CE1E02"/>
    <w:rsid w:val="49163AAD"/>
    <w:rsid w:val="49466876"/>
    <w:rsid w:val="49A10C72"/>
    <w:rsid w:val="49ED12FF"/>
    <w:rsid w:val="4A71531C"/>
    <w:rsid w:val="4AC770D3"/>
    <w:rsid w:val="4AFD2237"/>
    <w:rsid w:val="4B1F447C"/>
    <w:rsid w:val="4BD04C50"/>
    <w:rsid w:val="4BF41FBC"/>
    <w:rsid w:val="4BFD59E8"/>
    <w:rsid w:val="4C052E47"/>
    <w:rsid w:val="4C7D3E20"/>
    <w:rsid w:val="4CB9011E"/>
    <w:rsid w:val="4CBC5A8D"/>
    <w:rsid w:val="4D6C0FAE"/>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451112"/>
    <w:rsid w:val="51705837"/>
    <w:rsid w:val="519F1952"/>
    <w:rsid w:val="51A644B6"/>
    <w:rsid w:val="51AF66AA"/>
    <w:rsid w:val="51F10EA6"/>
    <w:rsid w:val="51F16B7B"/>
    <w:rsid w:val="526D5EF3"/>
    <w:rsid w:val="52B04FC1"/>
    <w:rsid w:val="53737AE7"/>
    <w:rsid w:val="537D3C2D"/>
    <w:rsid w:val="537F3BB6"/>
    <w:rsid w:val="53C42785"/>
    <w:rsid w:val="5430250C"/>
    <w:rsid w:val="54A82839"/>
    <w:rsid w:val="54D1276A"/>
    <w:rsid w:val="54F22F39"/>
    <w:rsid w:val="551A02D1"/>
    <w:rsid w:val="554E6FE3"/>
    <w:rsid w:val="556F72BE"/>
    <w:rsid w:val="558B26A7"/>
    <w:rsid w:val="55A84294"/>
    <w:rsid w:val="55C8387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CE07457"/>
    <w:rsid w:val="5D0E6CCE"/>
    <w:rsid w:val="5D160AEB"/>
    <w:rsid w:val="5D3A70EE"/>
    <w:rsid w:val="5D487853"/>
    <w:rsid w:val="5D716AB2"/>
    <w:rsid w:val="5D840D6C"/>
    <w:rsid w:val="5DB645C1"/>
    <w:rsid w:val="5DC9323D"/>
    <w:rsid w:val="5DD154CB"/>
    <w:rsid w:val="5E4C0B1A"/>
    <w:rsid w:val="5E6C042B"/>
    <w:rsid w:val="5E7C233A"/>
    <w:rsid w:val="5E7E1860"/>
    <w:rsid w:val="5E905572"/>
    <w:rsid w:val="5EBF1885"/>
    <w:rsid w:val="5F0026B1"/>
    <w:rsid w:val="5F1A2F16"/>
    <w:rsid w:val="5F5C5326"/>
    <w:rsid w:val="5F9E1458"/>
    <w:rsid w:val="60CF21A4"/>
    <w:rsid w:val="610374C0"/>
    <w:rsid w:val="61251AAF"/>
    <w:rsid w:val="6130032C"/>
    <w:rsid w:val="61495B2A"/>
    <w:rsid w:val="617F6D8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F4A62"/>
    <w:rsid w:val="65E768AD"/>
    <w:rsid w:val="66617477"/>
    <w:rsid w:val="66872E2E"/>
    <w:rsid w:val="66C71A37"/>
    <w:rsid w:val="67593913"/>
    <w:rsid w:val="679005ED"/>
    <w:rsid w:val="679F6A27"/>
    <w:rsid w:val="67B1082B"/>
    <w:rsid w:val="68005FED"/>
    <w:rsid w:val="68290824"/>
    <w:rsid w:val="684167EB"/>
    <w:rsid w:val="689F578C"/>
    <w:rsid w:val="68E32AC1"/>
    <w:rsid w:val="69715434"/>
    <w:rsid w:val="697C6F00"/>
    <w:rsid w:val="69F00E5C"/>
    <w:rsid w:val="69F31A87"/>
    <w:rsid w:val="6A144440"/>
    <w:rsid w:val="6A1E3F06"/>
    <w:rsid w:val="6AF9099E"/>
    <w:rsid w:val="6B0B793D"/>
    <w:rsid w:val="6B206CF4"/>
    <w:rsid w:val="6B242E76"/>
    <w:rsid w:val="6BAF79B1"/>
    <w:rsid w:val="6BE50451"/>
    <w:rsid w:val="6BEB1554"/>
    <w:rsid w:val="6C0A4577"/>
    <w:rsid w:val="6C420E48"/>
    <w:rsid w:val="6C536ED6"/>
    <w:rsid w:val="6C582E9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4137A"/>
    <w:rsid w:val="710768CA"/>
    <w:rsid w:val="71772C63"/>
    <w:rsid w:val="72CE3338"/>
    <w:rsid w:val="72EE3A33"/>
    <w:rsid w:val="73B162A4"/>
    <w:rsid w:val="73C53042"/>
    <w:rsid w:val="73FF22EE"/>
    <w:rsid w:val="745D7266"/>
    <w:rsid w:val="752224A4"/>
    <w:rsid w:val="75232317"/>
    <w:rsid w:val="75657B4A"/>
    <w:rsid w:val="758B0E6A"/>
    <w:rsid w:val="759C71EE"/>
    <w:rsid w:val="75B16BC8"/>
    <w:rsid w:val="75B66909"/>
    <w:rsid w:val="75E443AB"/>
    <w:rsid w:val="75EB0D6F"/>
    <w:rsid w:val="760A6ABF"/>
    <w:rsid w:val="762E3521"/>
    <w:rsid w:val="76664D54"/>
    <w:rsid w:val="76770854"/>
    <w:rsid w:val="76916271"/>
    <w:rsid w:val="769627D9"/>
    <w:rsid w:val="7777006E"/>
    <w:rsid w:val="78724754"/>
    <w:rsid w:val="787A05B6"/>
    <w:rsid w:val="79427575"/>
    <w:rsid w:val="79880B3A"/>
    <w:rsid w:val="79AE2ADA"/>
    <w:rsid w:val="7A3B3167"/>
    <w:rsid w:val="7A6E74FD"/>
    <w:rsid w:val="7A7E5845"/>
    <w:rsid w:val="7A9674E6"/>
    <w:rsid w:val="7B455EC8"/>
    <w:rsid w:val="7B6F7701"/>
    <w:rsid w:val="7C097E38"/>
    <w:rsid w:val="7C491C89"/>
    <w:rsid w:val="7C9469C9"/>
    <w:rsid w:val="7CED21F4"/>
    <w:rsid w:val="7CEF62FD"/>
    <w:rsid w:val="7D0761B8"/>
    <w:rsid w:val="7D31799A"/>
    <w:rsid w:val="7D420FD0"/>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9"/>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89"/>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5"/>
    <w:semiHidden/>
    <w:unhideWhenUsed/>
    <w:qFormat/>
    <w:uiPriority w:val="9"/>
    <w:pPr>
      <w:keepNext/>
      <w:keepLines/>
      <w:spacing w:before="260" w:after="260" w:line="413" w:lineRule="auto"/>
      <w:outlineLvl w:val="2"/>
    </w:pPr>
    <w:rPr>
      <w:b/>
      <w:sz w:val="32"/>
    </w:rPr>
  </w:style>
  <w:style w:type="character" w:default="1" w:styleId="23">
    <w:name w:val="Default Paragraph Font"/>
    <w:semiHidden/>
    <w:unhideWhenUsed/>
    <w:uiPriority w:val="1"/>
  </w:style>
  <w:style w:type="table" w:default="1" w:styleId="29">
    <w:name w:val="Normal Table"/>
    <w:semiHidden/>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37"/>
    <w:semiHidden/>
    <w:unhideWhenUsed/>
    <w:qFormat/>
    <w:uiPriority w:val="99"/>
    <w:rPr>
      <w:b/>
      <w:bCs/>
    </w:rPr>
  </w:style>
  <w:style w:type="paragraph" w:styleId="6">
    <w:name w:val="annotation text"/>
    <w:basedOn w:val="1"/>
    <w:link w:val="90"/>
    <w:unhideWhenUsed/>
    <w:qFormat/>
    <w:uiPriority w:val="0"/>
    <w:pPr>
      <w:jc w:val="left"/>
    </w:pPr>
    <w:rPr>
      <w:rFonts w:ascii="Times New Roman" w:hAnsi="Times New Roman" w:eastAsia="宋体" w:cs="Times New Roman"/>
      <w:szCs w:val="24"/>
    </w:rPr>
  </w:style>
  <w:style w:type="paragraph" w:styleId="7">
    <w:name w:val="Body Text First Indent"/>
    <w:basedOn w:val="8"/>
    <w:link w:val="98"/>
    <w:semiHidden/>
    <w:unhideWhenUsed/>
    <w:qFormat/>
    <w:uiPriority w:val="99"/>
    <w:pPr>
      <w:ind w:firstLine="420" w:firstLineChars="100"/>
    </w:pPr>
    <w:rPr>
      <w:rFonts w:ascii="Calibri" w:hAnsi="Calibri" w:eastAsia="宋体" w:cs="Times New Roman"/>
    </w:rPr>
  </w:style>
  <w:style w:type="paragraph" w:styleId="8">
    <w:name w:val="Body Text"/>
    <w:basedOn w:val="1"/>
    <w:link w:val="95"/>
    <w:semiHidden/>
    <w:unhideWhenUsed/>
    <w:qFormat/>
    <w:uiPriority w:val="99"/>
    <w:pPr>
      <w:spacing w:after="120"/>
    </w:pPr>
  </w:style>
  <w:style w:type="paragraph" w:styleId="9">
    <w:name w:val="Normal Indent"/>
    <w:basedOn w:val="1"/>
    <w:semiHidden/>
    <w:unhideWhenUsed/>
    <w:qFormat/>
    <w:uiPriority w:val="99"/>
    <w:pPr>
      <w:spacing w:line="60" w:lineRule="auto"/>
      <w:ind w:firstLine="420" w:firstLineChars="200"/>
    </w:pPr>
    <w:rPr>
      <w:rFonts w:ascii="Times New Roman" w:hAnsi="Times New Roman" w:eastAsia="宋体" w:cs="Times New Roman"/>
      <w:szCs w:val="24"/>
    </w:rPr>
  </w:style>
  <w:style w:type="paragraph" w:styleId="10">
    <w:name w:val="Body Text Indent"/>
    <w:basedOn w:val="1"/>
    <w:next w:val="11"/>
    <w:link w:val="92"/>
    <w:semiHidden/>
    <w:unhideWhenUsed/>
    <w:qFormat/>
    <w:uiPriority w:val="99"/>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Plain Text"/>
    <w:basedOn w:val="1"/>
    <w:link w:val="64"/>
    <w:qFormat/>
    <w:uiPriority w:val="0"/>
    <w:rPr>
      <w:rFonts w:ascii="宋体" w:hAnsi="Courier New" w:eastAsia="宋体" w:cs="Times New Roman"/>
      <w:kern w:val="0"/>
      <w:sz w:val="20"/>
      <w:szCs w:val="21"/>
    </w:rPr>
  </w:style>
  <w:style w:type="paragraph" w:styleId="13">
    <w:name w:val="Balloon Text"/>
    <w:basedOn w:val="1"/>
    <w:link w:val="36"/>
    <w:semiHidden/>
    <w:unhideWhenUsed/>
    <w:qFormat/>
    <w:uiPriority w:val="99"/>
    <w:rPr>
      <w:sz w:val="18"/>
      <w:szCs w:val="18"/>
    </w:rPr>
  </w:style>
  <w:style w:type="paragraph" w:styleId="14">
    <w:name w:val="footer"/>
    <w:basedOn w:val="1"/>
    <w:link w:val="60"/>
    <w:unhideWhenUsed/>
    <w:qFormat/>
    <w:uiPriority w:val="99"/>
    <w:pPr>
      <w:tabs>
        <w:tab w:val="center" w:pos="4153"/>
        <w:tab w:val="right" w:pos="8306"/>
      </w:tabs>
      <w:snapToGrid w:val="0"/>
      <w:jc w:val="left"/>
    </w:pPr>
    <w:rPr>
      <w:sz w:val="18"/>
      <w:szCs w:val="18"/>
    </w:rPr>
  </w:style>
  <w:style w:type="paragraph" w:styleId="15">
    <w:name w:val="Body Text First Indent 2"/>
    <w:basedOn w:val="10"/>
    <w:next w:val="1"/>
    <w:link w:val="51"/>
    <w:semiHidden/>
    <w:unhideWhenUsed/>
    <w:qFormat/>
    <w:uiPriority w:val="99"/>
    <w:pPr>
      <w:ind w:firstLine="420" w:firstLineChars="200"/>
    </w:pPr>
  </w:style>
  <w:style w:type="paragraph" w:styleId="16">
    <w:name w:val="header"/>
    <w:basedOn w:val="1"/>
    <w:link w:val="10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unhideWhenUsed/>
    <w:qFormat/>
    <w:uiPriority w:val="39"/>
    <w:pPr>
      <w:spacing w:line="400" w:lineRule="exact"/>
      <w:jc w:val="center"/>
    </w:pPr>
    <w:rPr>
      <w:rFonts w:hint="eastAsia" w:ascii="宋体" w:hAnsi="宋体" w:eastAsia="宋体" w:cs="Times New Roman"/>
      <w:b/>
      <w:bCs/>
    </w:rPr>
  </w:style>
  <w:style w:type="paragraph" w:styleId="18">
    <w:name w:val="footnote text"/>
    <w:basedOn w:val="1"/>
    <w:link w:val="77"/>
    <w:semiHidden/>
    <w:unhideWhenUsed/>
    <w:qFormat/>
    <w:uiPriority w:val="99"/>
    <w:pPr>
      <w:snapToGrid w:val="0"/>
      <w:jc w:val="left"/>
    </w:pPr>
    <w:rPr>
      <w:sz w:val="18"/>
    </w:rPr>
  </w:style>
  <w:style w:type="paragraph" w:styleId="19">
    <w:name w:val="Body Text Indent 3"/>
    <w:basedOn w:val="1"/>
    <w:link w:val="97"/>
    <w:semiHidden/>
    <w:unhideWhenUsed/>
    <w:qFormat/>
    <w:uiPriority w:val="99"/>
    <w:pPr>
      <w:spacing w:after="120"/>
      <w:ind w:left="420" w:leftChars="200"/>
    </w:pPr>
    <w:rPr>
      <w:rFonts w:hint="eastAsia" w:ascii="等线" w:hAnsi="等线" w:eastAsia="等线" w:cs="Times New Roman"/>
      <w:sz w:val="16"/>
      <w:szCs w:val="16"/>
    </w:rPr>
  </w:style>
  <w:style w:type="paragraph" w:styleId="20">
    <w:name w:val="toc 2"/>
    <w:basedOn w:val="1"/>
    <w:next w:val="1"/>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21">
    <w:name w:val="Normal (Web)"/>
    <w:basedOn w:val="1"/>
    <w:link w:val="9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2">
    <w:name w:val="Title"/>
    <w:basedOn w:val="1"/>
    <w:next w:val="1"/>
    <w:link w:val="76"/>
    <w:qFormat/>
    <w:uiPriority w:val="0"/>
    <w:pPr>
      <w:spacing w:before="240" w:after="60"/>
      <w:jc w:val="center"/>
      <w:outlineLvl w:val="0"/>
    </w:pPr>
    <w:rPr>
      <w:rFonts w:eastAsia="宋体" w:asciiTheme="majorHAnsi" w:hAnsiTheme="majorHAnsi" w:cstheme="majorBidi"/>
      <w:b/>
      <w:bCs/>
      <w:sz w:val="32"/>
      <w:szCs w:val="32"/>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Hyperlink"/>
    <w:basedOn w:val="23"/>
    <w:unhideWhenUsed/>
    <w:qFormat/>
    <w:uiPriority w:val="99"/>
    <w:rPr>
      <w:color w:val="0000FF" w:themeColor="hyperlink"/>
      <w:u w:val="single"/>
      <w14:textFill>
        <w14:solidFill>
          <w14:schemeClr w14:val="hlink"/>
        </w14:solidFill>
      </w14:textFill>
    </w:rPr>
  </w:style>
  <w:style w:type="character" w:styleId="27">
    <w:name w:val="HTML Code"/>
    <w:basedOn w:val="23"/>
    <w:qFormat/>
    <w:uiPriority w:val="0"/>
    <w:rPr>
      <w:rFonts w:ascii="Courier New" w:hAnsi="Courier New"/>
      <w:sz w:val="20"/>
    </w:rPr>
  </w:style>
  <w:style w:type="character" w:styleId="28">
    <w:name w:val="annotation reference"/>
    <w:basedOn w:val="23"/>
    <w:unhideWhenUsed/>
    <w:qFormat/>
    <w:uiPriority w:val="0"/>
    <w:rPr>
      <w:sz w:val="21"/>
      <w:szCs w:val="21"/>
    </w:r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cBorders>
        <w:top w:val="single" w:color="auto" w:sz="4" w:space="0"/>
        <w:left w:val="single" w:color="auto" w:sz="4" w:space="0"/>
        <w:bottom w:val="single" w:color="auto" w:sz="4" w:space="0"/>
        <w:right w:val="single" w:color="auto" w:sz="4" w:space="0"/>
      </w:tcBorders>
    </w:tcPr>
  </w:style>
  <w:style w:type="paragraph" w:customStyle="1" w:styleId="31">
    <w:name w:val="Default"/>
    <w:qFormat/>
    <w:uiPriority w:val="0"/>
    <w:pPr>
      <w:widowControl w:val="0"/>
      <w:autoSpaceDE w:val="0"/>
      <w:autoSpaceDN w:val="0"/>
      <w:adjustRightInd w:val="0"/>
      <w:spacing w:after="160" w:line="278" w:lineRule="auto"/>
    </w:pPr>
    <w:rPr>
      <w:rFonts w:ascii="宋体" w:hAnsi="Calibri" w:eastAsia="宋体" w:cs="宋体"/>
      <w:color w:val="000000"/>
      <w:sz w:val="24"/>
      <w:szCs w:val="24"/>
      <w:lang w:val="en-US" w:eastAsia="zh-CN" w:bidi="ar-SA"/>
    </w:rPr>
  </w:style>
  <w:style w:type="character" w:customStyle="1" w:styleId="32">
    <w:name w:val="页眉 字符"/>
    <w:basedOn w:val="23"/>
    <w:qFormat/>
    <w:uiPriority w:val="99"/>
    <w:rPr>
      <w:sz w:val="18"/>
      <w:szCs w:val="18"/>
    </w:rPr>
  </w:style>
  <w:style w:type="character" w:customStyle="1" w:styleId="33">
    <w:name w:val="页脚 字符"/>
    <w:basedOn w:val="23"/>
    <w:qFormat/>
    <w:uiPriority w:val="99"/>
    <w:rPr>
      <w:sz w:val="18"/>
      <w:szCs w:val="18"/>
    </w:rPr>
  </w:style>
  <w:style w:type="paragraph" w:styleId="34">
    <w:name w:val="List Paragraph"/>
    <w:basedOn w:val="1"/>
    <w:link w:val="42"/>
    <w:qFormat/>
    <w:uiPriority w:val="34"/>
    <w:pPr>
      <w:ind w:firstLine="420" w:firstLineChars="200"/>
    </w:pPr>
  </w:style>
  <w:style w:type="character" w:customStyle="1" w:styleId="35">
    <w:name w:val="批注文字 字符"/>
    <w:basedOn w:val="23"/>
    <w:qFormat/>
    <w:uiPriority w:val="0"/>
  </w:style>
  <w:style w:type="character" w:customStyle="1" w:styleId="36">
    <w:name w:val="批注框文本 字符"/>
    <w:basedOn w:val="23"/>
    <w:link w:val="13"/>
    <w:semiHidden/>
    <w:qFormat/>
    <w:uiPriority w:val="99"/>
    <w:rPr>
      <w:sz w:val="18"/>
      <w:szCs w:val="18"/>
    </w:rPr>
  </w:style>
  <w:style w:type="character" w:customStyle="1" w:styleId="37">
    <w:name w:val="批注主题 字符"/>
    <w:basedOn w:val="35"/>
    <w:link w:val="5"/>
    <w:semiHidden/>
    <w:qFormat/>
    <w:uiPriority w:val="99"/>
    <w:rPr>
      <w:b/>
      <w:bCs/>
    </w:rPr>
  </w:style>
  <w:style w:type="character" w:customStyle="1" w:styleId="38">
    <w:name w:val="标题 Char"/>
    <w:basedOn w:val="23"/>
    <w:qFormat/>
    <w:uiPriority w:val="0"/>
    <w:rPr>
      <w:rFonts w:eastAsia="宋体" w:asciiTheme="majorHAnsi" w:hAnsiTheme="majorHAnsi" w:cstheme="majorBidi"/>
      <w:b/>
      <w:bCs/>
      <w:sz w:val="32"/>
      <w:szCs w:val="32"/>
    </w:rPr>
  </w:style>
  <w:style w:type="character" w:customStyle="1" w:styleId="39">
    <w:name w:val="标题 2 字符"/>
    <w:basedOn w:val="23"/>
    <w:qFormat/>
    <w:uiPriority w:val="0"/>
    <w:rPr>
      <w:rFonts w:ascii="Arial" w:hAnsi="Arial" w:eastAsia="黑体" w:cs="Times New Roman"/>
      <w:b/>
      <w:bCs/>
      <w:sz w:val="32"/>
      <w:szCs w:val="32"/>
    </w:rPr>
  </w:style>
  <w:style w:type="character" w:customStyle="1" w:styleId="40">
    <w:name w:val="纯文本 字符"/>
    <w:basedOn w:val="23"/>
    <w:qFormat/>
    <w:uiPriority w:val="0"/>
    <w:rPr>
      <w:rFonts w:ascii="宋体" w:hAnsi="Courier New" w:eastAsia="宋体" w:cs="Times New Roman"/>
      <w:kern w:val="0"/>
      <w:sz w:val="20"/>
      <w:szCs w:val="21"/>
    </w:rPr>
  </w:style>
  <w:style w:type="paragraph" w:customStyle="1" w:styleId="4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42">
    <w:name w:val="列表段落 字符4"/>
    <w:link w:val="34"/>
    <w:qFormat/>
    <w:uiPriority w:val="99"/>
  </w:style>
  <w:style w:type="paragraph" w:customStyle="1" w:styleId="43">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4">
    <w:name w:val="列出段落1"/>
    <w:basedOn w:val="1"/>
    <w:link w:val="45"/>
    <w:qFormat/>
    <w:uiPriority w:val="99"/>
    <w:pPr>
      <w:ind w:firstLine="420" w:firstLineChars="200"/>
    </w:pPr>
    <w:rPr>
      <w:rFonts w:ascii="Times New Roman" w:hAnsi="Times New Roman" w:eastAsia="宋体" w:cs="Times New Roman"/>
      <w:szCs w:val="21"/>
    </w:rPr>
  </w:style>
  <w:style w:type="character" w:customStyle="1" w:styleId="45">
    <w:name w:val="List Paragraph Char"/>
    <w:link w:val="44"/>
    <w:qFormat/>
    <w:locked/>
    <w:uiPriority w:val="99"/>
    <w:rPr>
      <w:rFonts w:ascii="Times New Roman" w:hAnsi="Times New Roman" w:eastAsia="宋体" w:cs="Times New Roman"/>
      <w:szCs w:val="21"/>
    </w:rPr>
  </w:style>
  <w:style w:type="paragraph" w:customStyle="1" w:styleId="46">
    <w:name w:val="_Style 121"/>
    <w:basedOn w:val="1"/>
    <w:next w:val="34"/>
    <w:qFormat/>
    <w:uiPriority w:val="34"/>
    <w:pPr>
      <w:ind w:firstLine="420" w:firstLineChars="200"/>
    </w:pPr>
    <w:rPr>
      <w:rFonts w:ascii="Calibri" w:hAnsi="Calibri" w:eastAsia="宋体" w:cs="Times New Roman"/>
    </w:rPr>
  </w:style>
  <w:style w:type="paragraph" w:customStyle="1" w:styleId="47">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9">
    <w:name w:val="纯文本 Char1"/>
    <w:qFormat/>
    <w:uiPriority w:val="0"/>
    <w:rPr>
      <w:rFonts w:ascii="宋体" w:hAnsi="Courier New" w:eastAsia="宋体" w:cs="Times New Roman"/>
      <w:kern w:val="0"/>
      <w:sz w:val="20"/>
      <w:szCs w:val="21"/>
    </w:rPr>
  </w:style>
  <w:style w:type="character" w:customStyle="1" w:styleId="50">
    <w:name w:val="正文文本缩进 字符"/>
    <w:basedOn w:val="23"/>
    <w:qFormat/>
    <w:uiPriority w:val="0"/>
    <w:rPr>
      <w:kern w:val="2"/>
      <w:sz w:val="21"/>
      <w:szCs w:val="24"/>
    </w:rPr>
  </w:style>
  <w:style w:type="character" w:customStyle="1" w:styleId="51">
    <w:name w:val="正文文本首行缩进 2 字符"/>
    <w:basedOn w:val="50"/>
    <w:link w:val="15"/>
    <w:qFormat/>
    <w:uiPriority w:val="0"/>
    <w:rPr>
      <w:kern w:val="2"/>
      <w:sz w:val="21"/>
      <w:szCs w:val="24"/>
    </w:rPr>
  </w:style>
  <w:style w:type="paragraph" w:customStyle="1" w:styleId="52">
    <w:name w:val="msolistparagraph"/>
    <w:basedOn w:val="1"/>
    <w:qFormat/>
    <w:uiPriority w:val="0"/>
    <w:pPr>
      <w:ind w:firstLine="420" w:firstLineChars="200"/>
    </w:pPr>
    <w:rPr>
      <w:rFonts w:ascii="Times New Roman" w:hAnsi="Times New Roman" w:eastAsia="宋体" w:cs="Times New Roman"/>
    </w:rPr>
  </w:style>
  <w:style w:type="character" w:customStyle="1" w:styleId="53">
    <w:name w:val="列出段落 Char"/>
    <w:basedOn w:val="23"/>
    <w:qFormat/>
    <w:uiPriority w:val="0"/>
    <w:rPr>
      <w:kern w:val="2"/>
      <w:sz w:val="21"/>
      <w:szCs w:val="22"/>
    </w:rPr>
  </w:style>
  <w:style w:type="character" w:customStyle="1" w:styleId="54">
    <w:name w:val="正文文本 字符"/>
    <w:basedOn w:val="23"/>
    <w:qFormat/>
    <w:uiPriority w:val="0"/>
    <w:rPr>
      <w:rFonts w:hint="default" w:ascii="Calibri" w:hAnsi="Calibri" w:eastAsia="宋体" w:cs="Times New Roman"/>
      <w:kern w:val="2"/>
      <w:sz w:val="21"/>
      <w:szCs w:val="22"/>
    </w:rPr>
  </w:style>
  <w:style w:type="character" w:customStyle="1" w:styleId="55">
    <w:name w:val="纯文本 Char"/>
    <w:basedOn w:val="23"/>
    <w:qFormat/>
    <w:uiPriority w:val="0"/>
    <w:rPr>
      <w:rFonts w:hint="eastAsia" w:ascii="宋体" w:hAnsi="Courier New" w:eastAsia="宋体" w:cs="宋体"/>
      <w:szCs w:val="21"/>
    </w:rPr>
  </w:style>
  <w:style w:type="paragraph" w:customStyle="1" w:styleId="56">
    <w:name w:val="_Style 116"/>
    <w:basedOn w:val="1"/>
    <w:next w:val="34"/>
    <w:qFormat/>
    <w:uiPriority w:val="99"/>
    <w:pPr>
      <w:ind w:firstLine="420" w:firstLineChars="200"/>
    </w:pPr>
    <w:rPr>
      <w:kern w:val="0"/>
      <w:sz w:val="20"/>
      <w:szCs w:val="20"/>
    </w:rPr>
  </w:style>
  <w:style w:type="character" w:customStyle="1" w:styleId="57">
    <w:name w:val="普通(网站) 字符"/>
    <w:basedOn w:val="23"/>
    <w:qFormat/>
    <w:uiPriority w:val="99"/>
    <w:rPr>
      <w:rFonts w:hint="eastAsia" w:ascii="宋体" w:hAnsi="宋体" w:eastAsia="宋体" w:cs="宋体"/>
      <w:sz w:val="24"/>
      <w:szCs w:val="24"/>
    </w:rPr>
  </w:style>
  <w:style w:type="character" w:customStyle="1" w:styleId="58">
    <w:name w:val="批注文字 Char"/>
    <w:basedOn w:val="23"/>
    <w:qFormat/>
    <w:uiPriority w:val="0"/>
    <w:rPr>
      <w:kern w:val="2"/>
      <w:sz w:val="21"/>
      <w:szCs w:val="24"/>
    </w:rPr>
  </w:style>
  <w:style w:type="character" w:customStyle="1" w:styleId="59">
    <w:name w:val="标题 1 字符"/>
    <w:basedOn w:val="23"/>
    <w:link w:val="2"/>
    <w:qFormat/>
    <w:uiPriority w:val="0"/>
    <w:rPr>
      <w:b/>
      <w:bCs/>
      <w:kern w:val="44"/>
      <w:sz w:val="44"/>
      <w:szCs w:val="44"/>
    </w:rPr>
  </w:style>
  <w:style w:type="character" w:customStyle="1" w:styleId="60">
    <w:name w:val="页脚 字符1"/>
    <w:basedOn w:val="23"/>
    <w:link w:val="14"/>
    <w:qFormat/>
    <w:uiPriority w:val="0"/>
    <w:rPr>
      <w:kern w:val="2"/>
      <w:sz w:val="18"/>
      <w:szCs w:val="18"/>
    </w:rPr>
  </w:style>
  <w:style w:type="character" w:customStyle="1" w:styleId="61">
    <w:name w:val="页眉 字符1"/>
    <w:basedOn w:val="23"/>
    <w:qFormat/>
    <w:uiPriority w:val="0"/>
    <w:rPr>
      <w:kern w:val="2"/>
      <w:sz w:val="18"/>
      <w:szCs w:val="18"/>
    </w:rPr>
  </w:style>
  <w:style w:type="character" w:customStyle="1" w:styleId="62">
    <w:name w:val="标题 2 字符1"/>
    <w:basedOn w:val="23"/>
    <w:qFormat/>
    <w:uiPriority w:val="0"/>
    <w:rPr>
      <w:rFonts w:hint="default" w:ascii="Cambria" w:hAnsi="Cambria" w:eastAsia="Cambria" w:cs="Cambria"/>
      <w:b/>
      <w:bCs/>
      <w:kern w:val="2"/>
      <w:sz w:val="32"/>
      <w:szCs w:val="32"/>
    </w:rPr>
  </w:style>
  <w:style w:type="character" w:customStyle="1" w:styleId="63">
    <w:name w:val="列出段落 Char1"/>
    <w:basedOn w:val="23"/>
    <w:qFormat/>
    <w:uiPriority w:val="0"/>
    <w:rPr>
      <w:rFonts w:hint="default" w:ascii="Calibri" w:hAnsi="Calibri" w:cs="Calibri"/>
      <w:kern w:val="2"/>
      <w:sz w:val="21"/>
      <w:szCs w:val="22"/>
    </w:rPr>
  </w:style>
  <w:style w:type="character" w:customStyle="1" w:styleId="64">
    <w:name w:val="纯文本 字符2"/>
    <w:basedOn w:val="23"/>
    <w:link w:val="12"/>
    <w:qFormat/>
    <w:uiPriority w:val="0"/>
    <w:rPr>
      <w:rFonts w:hint="eastAsia" w:ascii="宋体" w:hAnsi="Courier New" w:eastAsia="宋体" w:cs="宋体"/>
      <w:szCs w:val="21"/>
      <w:lang w:val="zh-CN"/>
    </w:rPr>
  </w:style>
  <w:style w:type="character" w:customStyle="1" w:styleId="65">
    <w:name w:val="标题 3 字符"/>
    <w:basedOn w:val="23"/>
    <w:link w:val="4"/>
    <w:qFormat/>
    <w:uiPriority w:val="0"/>
    <w:rPr>
      <w:b/>
      <w:bCs/>
      <w:kern w:val="2"/>
      <w:sz w:val="32"/>
      <w:szCs w:val="32"/>
    </w:rPr>
  </w:style>
  <w:style w:type="paragraph" w:customStyle="1" w:styleId="66">
    <w:name w:val="列表段落2"/>
    <w:basedOn w:val="1"/>
    <w:qFormat/>
    <w:uiPriority w:val="0"/>
    <w:pPr>
      <w:ind w:firstLine="420" w:firstLineChars="200"/>
    </w:pPr>
    <w:rPr>
      <w:rFonts w:ascii="Times New Roman" w:hAnsi="Times New Roman" w:eastAsia="宋体" w:cs="Times New Roman"/>
      <w:szCs w:val="24"/>
    </w:rPr>
  </w:style>
  <w:style w:type="character" w:customStyle="1" w:styleId="67">
    <w:name w:val="正文文本首行缩进 字符"/>
    <w:qFormat/>
    <w:uiPriority w:val="0"/>
    <w:rPr>
      <w:rFonts w:hint="default" w:ascii="Calibri" w:hAnsi="Calibri" w:eastAsia="宋体" w:cs="Times New Roman"/>
      <w:kern w:val="2"/>
      <w:sz w:val="21"/>
      <w:szCs w:val="22"/>
    </w:rPr>
  </w:style>
  <w:style w:type="paragraph" w:customStyle="1" w:styleId="68">
    <w:name w:val="p0"/>
    <w:basedOn w:val="1"/>
    <w:qFormat/>
    <w:uiPriority w:val="0"/>
    <w:pPr>
      <w:widowControl/>
    </w:pPr>
    <w:rPr>
      <w:rFonts w:ascii="Calibri" w:hAnsi="Calibri" w:eastAsia="宋体" w:cs="Times New Roman"/>
      <w:kern w:val="0"/>
      <w:szCs w:val="21"/>
    </w:rPr>
  </w:style>
  <w:style w:type="character" w:customStyle="1" w:styleId="69">
    <w:name w:val="font51"/>
    <w:basedOn w:val="23"/>
    <w:qFormat/>
    <w:uiPriority w:val="0"/>
    <w:rPr>
      <w:rFonts w:hint="eastAsia" w:ascii="宋体" w:hAnsi="宋体" w:eastAsia="宋体" w:cs="宋体"/>
      <w:color w:val="000000"/>
      <w:sz w:val="21"/>
      <w:szCs w:val="21"/>
      <w:u w:val="none"/>
    </w:rPr>
  </w:style>
  <w:style w:type="character" w:customStyle="1" w:styleId="70">
    <w:name w:val="列表段落 字符2"/>
    <w:basedOn w:val="23"/>
    <w:qFormat/>
    <w:uiPriority w:val="0"/>
  </w:style>
  <w:style w:type="character" w:customStyle="1" w:styleId="71">
    <w:name w:val="NormalCharacter"/>
    <w:basedOn w:val="23"/>
    <w:qFormat/>
    <w:uiPriority w:val="0"/>
  </w:style>
  <w:style w:type="character" w:customStyle="1" w:styleId="72">
    <w:name w:val="font31"/>
    <w:basedOn w:val="23"/>
    <w:qFormat/>
    <w:uiPriority w:val="0"/>
    <w:rPr>
      <w:rFonts w:hint="default" w:ascii="Times New Roman" w:hAnsi="Times New Roman" w:cs="Times New Roman"/>
      <w:color w:val="000000"/>
      <w:sz w:val="21"/>
      <w:szCs w:val="21"/>
      <w:u w:val="none"/>
    </w:rPr>
  </w:style>
  <w:style w:type="character" w:customStyle="1" w:styleId="73">
    <w:name w:val="font21"/>
    <w:basedOn w:val="23"/>
    <w:qFormat/>
    <w:uiPriority w:val="0"/>
    <w:rPr>
      <w:rFonts w:hint="eastAsia" w:ascii="宋体" w:hAnsi="宋体" w:eastAsia="宋体" w:cs="宋体"/>
      <w:color w:val="000000"/>
      <w:sz w:val="24"/>
      <w:szCs w:val="24"/>
      <w:u w:val="none"/>
    </w:rPr>
  </w:style>
  <w:style w:type="character" w:customStyle="1" w:styleId="74">
    <w:name w:val="font11"/>
    <w:basedOn w:val="23"/>
    <w:qFormat/>
    <w:uiPriority w:val="0"/>
    <w:rPr>
      <w:rFonts w:hint="eastAsia" w:ascii="宋体" w:hAnsi="宋体" w:eastAsia="宋体" w:cs="宋体"/>
      <w:color w:val="000000"/>
      <w:sz w:val="21"/>
      <w:szCs w:val="21"/>
      <w:u w:val="none"/>
    </w:rPr>
  </w:style>
  <w:style w:type="character" w:customStyle="1" w:styleId="75">
    <w:name w:val="纯文本 字符1"/>
    <w:basedOn w:val="23"/>
    <w:qFormat/>
    <w:uiPriority w:val="0"/>
    <w:rPr>
      <w:rFonts w:hint="eastAsia" w:ascii="宋体" w:hAnsi="Courier New" w:eastAsia="宋体" w:cs="宋体"/>
      <w:szCs w:val="21"/>
    </w:rPr>
  </w:style>
  <w:style w:type="character" w:customStyle="1" w:styleId="76">
    <w:name w:val="标题 字符"/>
    <w:basedOn w:val="23"/>
    <w:link w:val="22"/>
    <w:qFormat/>
    <w:uiPriority w:val="0"/>
    <w:rPr>
      <w:rFonts w:hint="default" w:ascii="Cambria" w:hAnsi="Cambria" w:eastAsia="Cambria" w:cs="Times New Roman"/>
      <w:b/>
      <w:bCs/>
      <w:kern w:val="2"/>
      <w:sz w:val="32"/>
      <w:szCs w:val="32"/>
    </w:rPr>
  </w:style>
  <w:style w:type="character" w:customStyle="1" w:styleId="77">
    <w:name w:val="脚注文本 字符"/>
    <w:basedOn w:val="23"/>
    <w:link w:val="18"/>
    <w:qFormat/>
    <w:uiPriority w:val="0"/>
    <w:rPr>
      <w:rFonts w:hint="eastAsia" w:ascii="宋体" w:hAnsi="宋体" w:eastAsia="宋体" w:cs="Times New Roman"/>
      <w:kern w:val="2"/>
      <w:sz w:val="24"/>
      <w:szCs w:val="18"/>
    </w:rPr>
  </w:style>
  <w:style w:type="character" w:customStyle="1" w:styleId="78">
    <w:name w:val="脚注文本 Char1"/>
    <w:basedOn w:val="23"/>
    <w:qFormat/>
    <w:uiPriority w:val="0"/>
    <w:rPr>
      <w:rFonts w:hint="default" w:ascii="Calibri" w:hAnsi="Calibri" w:eastAsia="宋体" w:cs="Times New Roman"/>
      <w:kern w:val="2"/>
      <w:sz w:val="18"/>
      <w:szCs w:val="18"/>
    </w:rPr>
  </w:style>
  <w:style w:type="character" w:customStyle="1" w:styleId="79">
    <w:name w:val="列表段落 字符1"/>
    <w:basedOn w:val="23"/>
    <w:qFormat/>
    <w:uiPriority w:val="34"/>
  </w:style>
  <w:style w:type="paragraph" w:customStyle="1" w:styleId="80">
    <w:name w:val="Table Paragraph"/>
    <w:basedOn w:val="1"/>
    <w:qFormat/>
    <w:uiPriority w:val="0"/>
    <w:rPr>
      <w:rFonts w:hint="eastAsia" w:ascii="宋体" w:hAnsi="宋体" w:eastAsia="宋体" w:cs="Times New Roman"/>
      <w:szCs w:val="24"/>
    </w:rPr>
  </w:style>
  <w:style w:type="character" w:customStyle="1" w:styleId="81">
    <w:name w:val="font41"/>
    <w:basedOn w:val="23"/>
    <w:qFormat/>
    <w:uiPriority w:val="0"/>
    <w:rPr>
      <w:rFonts w:hint="eastAsia" w:ascii="宋体" w:hAnsi="宋体" w:eastAsia="宋体" w:cs="宋体"/>
      <w:color w:val="FF0000"/>
      <w:sz w:val="24"/>
      <w:szCs w:val="24"/>
      <w:u w:val="none"/>
    </w:rPr>
  </w:style>
  <w:style w:type="character" w:customStyle="1" w:styleId="82">
    <w:name w:val="font91"/>
    <w:basedOn w:val="23"/>
    <w:qFormat/>
    <w:uiPriority w:val="0"/>
    <w:rPr>
      <w:rFonts w:hint="default" w:ascii="Times New Roman" w:hAnsi="Times New Roman" w:cs="Times New Roman"/>
      <w:color w:val="000000"/>
      <w:sz w:val="21"/>
      <w:szCs w:val="21"/>
      <w:u w:val="none"/>
    </w:rPr>
  </w:style>
  <w:style w:type="paragraph" w:customStyle="1" w:styleId="83">
    <w:name w:val="正文_0_0"/>
    <w:basedOn w:val="1"/>
    <w:qFormat/>
    <w:uiPriority w:val="0"/>
    <w:rPr>
      <w:rFonts w:ascii="Calibri" w:hAnsi="Calibri" w:eastAsia="宋体" w:cs="Times New Roman"/>
    </w:rPr>
  </w:style>
  <w:style w:type="character" w:customStyle="1" w:styleId="84">
    <w:name w:val="批注文字 字符1"/>
    <w:basedOn w:val="23"/>
    <w:qFormat/>
    <w:uiPriority w:val="0"/>
    <w:rPr>
      <w:szCs w:val="24"/>
    </w:rPr>
  </w:style>
  <w:style w:type="character" w:customStyle="1" w:styleId="85">
    <w:name w:val="列表段落 字符"/>
    <w:basedOn w:val="23"/>
    <w:qFormat/>
    <w:uiPriority w:val="0"/>
    <w:rPr>
      <w:rFonts w:hint="default" w:ascii="Calibri" w:hAnsi="Calibri" w:cs="Calibri"/>
      <w:kern w:val="2"/>
      <w:sz w:val="21"/>
      <w:szCs w:val="22"/>
    </w:rPr>
  </w:style>
  <w:style w:type="paragraph" w:customStyle="1" w:styleId="86">
    <w:name w:val="_Style 24"/>
    <w:basedOn w:val="1"/>
    <w:qFormat/>
    <w:uiPriority w:val="0"/>
    <w:pPr>
      <w:ind w:firstLine="420" w:firstLineChars="200"/>
    </w:pPr>
    <w:rPr>
      <w:rFonts w:ascii="Calibri" w:hAnsi="Calibri" w:eastAsia="宋体" w:cs="Times New Roman"/>
    </w:rPr>
  </w:style>
  <w:style w:type="character" w:customStyle="1" w:styleId="87">
    <w:name w:val="列表段落 字符3"/>
    <w:basedOn w:val="23"/>
    <w:qFormat/>
    <w:uiPriority w:val="0"/>
    <w:rPr>
      <w:rFonts w:hint="default" w:ascii="Calibri" w:hAnsi="Calibri" w:eastAsia="宋体" w:cs="Times New Roman"/>
      <w:kern w:val="2"/>
      <w:sz w:val="21"/>
      <w:szCs w:val="22"/>
    </w:rPr>
  </w:style>
  <w:style w:type="character" w:customStyle="1" w:styleId="88">
    <w:name w:val="列出段落 Char2"/>
    <w:basedOn w:val="23"/>
    <w:qFormat/>
    <w:uiPriority w:val="0"/>
    <w:rPr>
      <w:rFonts w:hint="default" w:ascii="Calibri" w:hAnsi="Calibri" w:eastAsia="宋体" w:cs="Times New Roman"/>
      <w:kern w:val="2"/>
      <w:sz w:val="21"/>
      <w:szCs w:val="22"/>
    </w:rPr>
  </w:style>
  <w:style w:type="character" w:customStyle="1" w:styleId="89">
    <w:name w:val="标题 2 字符2"/>
    <w:basedOn w:val="23"/>
    <w:link w:val="3"/>
    <w:qFormat/>
    <w:uiPriority w:val="0"/>
    <w:rPr>
      <w:rFonts w:hint="default" w:ascii="Arial" w:hAnsi="Arial" w:eastAsia="黑体" w:cs="Arial"/>
      <w:b/>
      <w:bCs/>
      <w:kern w:val="2"/>
      <w:sz w:val="32"/>
      <w:szCs w:val="32"/>
    </w:rPr>
  </w:style>
  <w:style w:type="character" w:customStyle="1" w:styleId="90">
    <w:name w:val="批注文字 字符2"/>
    <w:basedOn w:val="23"/>
    <w:link w:val="6"/>
    <w:qFormat/>
    <w:uiPriority w:val="0"/>
    <w:rPr>
      <w:kern w:val="2"/>
      <w:sz w:val="21"/>
      <w:szCs w:val="24"/>
    </w:rPr>
  </w:style>
  <w:style w:type="character" w:customStyle="1" w:styleId="91">
    <w:name w:val="普通(网站) 字符1"/>
    <w:basedOn w:val="23"/>
    <w:link w:val="21"/>
    <w:qFormat/>
    <w:uiPriority w:val="0"/>
    <w:rPr>
      <w:rFonts w:hint="eastAsia" w:ascii="宋体" w:hAnsi="宋体" w:eastAsia="宋体" w:cs="宋体"/>
      <w:sz w:val="24"/>
      <w:szCs w:val="24"/>
    </w:rPr>
  </w:style>
  <w:style w:type="character" w:customStyle="1" w:styleId="92">
    <w:name w:val="正文文本缩进 字符1"/>
    <w:basedOn w:val="23"/>
    <w:link w:val="10"/>
    <w:qFormat/>
    <w:uiPriority w:val="0"/>
    <w:rPr>
      <w:kern w:val="2"/>
      <w:sz w:val="21"/>
      <w:szCs w:val="22"/>
    </w:rPr>
  </w:style>
  <w:style w:type="paragraph" w:customStyle="1" w:styleId="93">
    <w:name w:val="正文文本首行缩进 21"/>
    <w:basedOn w:val="10"/>
    <w:qFormat/>
    <w:uiPriority w:val="0"/>
    <w:pPr>
      <w:ind w:firstLine="420" w:firstLineChars="200"/>
    </w:pPr>
    <w:rPr>
      <w:rFonts w:ascii="Times New Roman" w:hAnsi="Times New Roman" w:eastAsia="宋体" w:cs="Times New Roman"/>
      <w:kern w:val="0"/>
      <w:sz w:val="20"/>
      <w:szCs w:val="20"/>
    </w:rPr>
  </w:style>
  <w:style w:type="paragraph" w:customStyle="1" w:styleId="94">
    <w:name w:val="_Style 5"/>
    <w:basedOn w:val="1"/>
    <w:next w:val="1"/>
    <w:qFormat/>
    <w:uiPriority w:val="0"/>
    <w:pPr>
      <w:ind w:firstLine="420" w:firstLineChars="200"/>
    </w:pPr>
    <w:rPr>
      <w:rFonts w:ascii="Times New Roman" w:hAnsi="Times New Roman" w:eastAsia="宋体" w:cs="Times New Roman"/>
    </w:rPr>
  </w:style>
  <w:style w:type="character" w:customStyle="1" w:styleId="95">
    <w:name w:val="正文文本 字符1"/>
    <w:basedOn w:val="23"/>
    <w:link w:val="8"/>
    <w:qFormat/>
    <w:uiPriority w:val="0"/>
    <w:rPr>
      <w:rFonts w:hint="default" w:ascii="Calibri" w:hAnsi="Calibri" w:eastAsia="宋体" w:cs="Times New Roman"/>
      <w:kern w:val="2"/>
      <w:sz w:val="21"/>
      <w:szCs w:val="22"/>
    </w:rPr>
  </w:style>
  <w:style w:type="paragraph" w:customStyle="1" w:styleId="96">
    <w:name w:val="列表段落1"/>
    <w:basedOn w:val="1"/>
    <w:qFormat/>
    <w:uiPriority w:val="0"/>
    <w:pPr>
      <w:ind w:firstLine="420" w:firstLineChars="200"/>
    </w:pPr>
    <w:rPr>
      <w:rFonts w:hint="eastAsia" w:ascii="等线" w:hAnsi="等线" w:eastAsia="等线" w:cs="Times New Roman"/>
    </w:rPr>
  </w:style>
  <w:style w:type="character" w:customStyle="1" w:styleId="97">
    <w:name w:val="正文文本缩进 3 字符"/>
    <w:basedOn w:val="23"/>
    <w:link w:val="19"/>
    <w:qFormat/>
    <w:uiPriority w:val="0"/>
    <w:rPr>
      <w:rFonts w:hint="eastAsia" w:ascii="等线" w:hAnsi="等线" w:eastAsia="等线" w:cs="等线"/>
      <w:kern w:val="2"/>
      <w:sz w:val="16"/>
      <w:szCs w:val="16"/>
    </w:rPr>
  </w:style>
  <w:style w:type="character" w:customStyle="1" w:styleId="98">
    <w:name w:val="正文文本首行缩进 字符1"/>
    <w:link w:val="7"/>
    <w:qFormat/>
    <w:uiPriority w:val="0"/>
    <w:rPr>
      <w:rFonts w:hint="default" w:ascii="Calibri" w:hAnsi="Calibri" w:eastAsia="楷体_GB2312" w:cs="Calibri"/>
      <w:kern w:val="2"/>
      <w:sz w:val="32"/>
      <w:szCs w:val="22"/>
    </w:rPr>
  </w:style>
  <w:style w:type="character" w:customStyle="1" w:styleId="99">
    <w:name w:val="表格文字 Char"/>
    <w:basedOn w:val="23"/>
    <w:link w:val="100"/>
    <w:qFormat/>
    <w:uiPriority w:val="0"/>
    <w:rPr>
      <w:bCs/>
      <w:spacing w:val="10"/>
      <w:sz w:val="24"/>
    </w:rPr>
  </w:style>
  <w:style w:type="paragraph" w:customStyle="1" w:styleId="100">
    <w:name w:val="表格文字"/>
    <w:basedOn w:val="1"/>
    <w:link w:val="99"/>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101">
    <w:name w:val="_Style 3"/>
    <w:basedOn w:val="1"/>
    <w:qFormat/>
    <w:uiPriority w:val="0"/>
    <w:rPr>
      <w:rFonts w:ascii="Times New Roman" w:hAnsi="Times New Roman" w:eastAsia="宋体" w:cs="Times New Roman"/>
    </w:rPr>
  </w:style>
  <w:style w:type="paragraph" w:customStyle="1" w:styleId="102">
    <w:name w:val="列表段落3"/>
    <w:basedOn w:val="1"/>
    <w:qFormat/>
    <w:uiPriority w:val="0"/>
    <w:pPr>
      <w:ind w:firstLine="420" w:firstLineChars="200"/>
    </w:pPr>
    <w:rPr>
      <w:rFonts w:ascii="Calibri" w:hAnsi="Calibri" w:eastAsia="宋体" w:cs="Times New Roman"/>
    </w:rPr>
  </w:style>
  <w:style w:type="character" w:customStyle="1" w:styleId="103">
    <w:name w:val="15"/>
    <w:basedOn w:val="23"/>
    <w:qFormat/>
    <w:uiPriority w:val="0"/>
    <w:rPr>
      <w:rFonts w:hint="default" w:ascii="Times New Roman" w:hAnsi="Times New Roman" w:cs="Times New Roman"/>
      <w:b/>
      <w:bCs/>
    </w:rPr>
  </w:style>
  <w:style w:type="character" w:customStyle="1" w:styleId="104">
    <w:name w:val="正文首行缩进 2 Char1"/>
    <w:basedOn w:val="23"/>
    <w:qFormat/>
    <w:uiPriority w:val="0"/>
  </w:style>
  <w:style w:type="character" w:customStyle="1" w:styleId="105">
    <w:name w:val="页眉 字符2"/>
    <w:basedOn w:val="23"/>
    <w:link w:val="16"/>
    <w:qFormat/>
    <w:uiPriority w:val="0"/>
    <w:rPr>
      <w:sz w:val="18"/>
      <w:szCs w:val="18"/>
    </w:rPr>
  </w:style>
  <w:style w:type="character" w:customStyle="1" w:styleId="106">
    <w:name w:val="页眉 Char1"/>
    <w:qFormat/>
    <w:uiPriority w:val="99"/>
    <w:rPr>
      <w:sz w:val="18"/>
      <w:szCs w:val="18"/>
      <w:lang w:val="zh-CN" w:eastAsia="zh-CN"/>
    </w:rPr>
  </w:style>
  <w:style w:type="character" w:customStyle="1" w:styleId="107">
    <w:name w:val="标题 2 Char"/>
    <w:basedOn w:val="23"/>
    <w:qFormat/>
    <w:uiPriority w:val="0"/>
    <w:rPr>
      <w:rFonts w:ascii="Arial" w:hAnsi="Arial" w:eastAsia="黑体" w:cs="Times New Roman"/>
      <w:b/>
      <w:bCs/>
      <w:sz w:val="32"/>
      <w:szCs w:val="32"/>
    </w:rPr>
  </w:style>
  <w:style w:type="character" w:customStyle="1" w:styleId="108">
    <w:name w:val="列出段落 Char3"/>
    <w:basedOn w:val="23"/>
    <w:qFormat/>
    <w:uiPriority w:val="0"/>
    <w:rPr>
      <w:rFonts w:hint="default" w:ascii="Calibri" w:hAnsi="Calibri" w:eastAsia="宋体" w:cs="Times New Roman"/>
      <w:kern w:val="2"/>
      <w:sz w:val="21"/>
      <w:szCs w:val="22"/>
    </w:rPr>
  </w:style>
  <w:style w:type="character" w:customStyle="1" w:styleId="109">
    <w:name w:val="列出段落 Char4"/>
    <w:basedOn w:val="23"/>
    <w:qFormat/>
    <w:uiPriority w:val="0"/>
    <w:rPr>
      <w:rFonts w:hint="default" w:ascii="Calibri" w:hAnsi="Calibri" w:eastAsia="宋体" w:cs="Times New Roman"/>
      <w:kern w:val="2"/>
      <w:sz w:val="21"/>
      <w:szCs w:val="22"/>
    </w:rPr>
  </w:style>
  <w:style w:type="paragraph" w:customStyle="1" w:styleId="110">
    <w:name w:val="列表段落4"/>
    <w:basedOn w:val="1"/>
    <w:qFormat/>
    <w:uiPriority w:val="99"/>
    <w:pPr>
      <w:ind w:firstLine="420" w:firstLineChars="200"/>
    </w:pPr>
  </w:style>
  <w:style w:type="paragraph" w:customStyle="1" w:styleId="111">
    <w:name w:val="列表段落6"/>
    <w:basedOn w:val="1"/>
    <w:qFormat/>
    <w:uiPriority w:val="99"/>
    <w:pPr>
      <w:ind w:firstLine="420" w:firstLineChars="200"/>
    </w:pPr>
  </w:style>
  <w:style w:type="paragraph" w:customStyle="1" w:styleId="112">
    <w:name w:val="修订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3">
    <w:name w:val="修订2"/>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4">
    <w:name w:val="修订3"/>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5">
    <w:name w:val="修订4"/>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6">
    <w:name w:val="修订5"/>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 w:type="paragraph" w:customStyle="1" w:styleId="117">
    <w:name w:val="正文1"/>
    <w:qFormat/>
    <w:uiPriority w:val="0"/>
    <w:pPr>
      <w:spacing w:after="0" w:line="240" w:lineRule="auto"/>
      <w:jc w:val="both"/>
    </w:pPr>
    <w:rPr>
      <w:rFonts w:ascii="宋体" w:hAnsi="宋体" w:eastAsia="宋体" w:cs="宋体"/>
      <w:kern w:val="2"/>
      <w:sz w:val="21"/>
      <w:szCs w:val="21"/>
      <w:lang w:val="en-US" w:eastAsia="zh-CN" w:bidi="ar-SA"/>
    </w:rPr>
  </w:style>
  <w:style w:type="paragraph" w:customStyle="1" w:styleId="118">
    <w:name w:val="修订6"/>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 w:type="character" w:customStyle="1" w:styleId="119">
    <w:name w:val="未处理的提及1"/>
    <w:basedOn w:val="23"/>
    <w:semiHidden/>
    <w:unhideWhenUsed/>
    <w:qFormat/>
    <w:uiPriority w:val="99"/>
    <w:rPr>
      <w:color w:val="605E5C"/>
      <w:shd w:val="clear" w:color="auto" w:fill="E1DFDD"/>
    </w:rPr>
  </w:style>
  <w:style w:type="paragraph" w:customStyle="1" w:styleId="120">
    <w:name w:val="修订7"/>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 w:type="paragraph" w:customStyle="1" w:styleId="121">
    <w:name w:val="pf0"/>
    <w:basedOn w:val="1"/>
    <w:uiPriority w:val="0"/>
    <w:pPr>
      <w:widowControl/>
      <w:spacing w:before="100" w:beforeAutospacing="1" w:after="100" w:afterAutospacing="1" w:line="240" w:lineRule="auto"/>
      <w:ind w:left="420"/>
      <w:jc w:val="left"/>
    </w:pPr>
    <w:rPr>
      <w:rFonts w:ascii="宋体" w:hAnsi="宋体" w:eastAsia="宋体" w:cs="宋体"/>
      <w:kern w:val="0"/>
      <w:sz w:val="24"/>
      <w:szCs w:val="24"/>
    </w:rPr>
  </w:style>
  <w:style w:type="character" w:customStyle="1" w:styleId="122">
    <w:name w:val="cf01"/>
    <w:basedOn w:val="23"/>
    <w:uiPriority w:val="0"/>
    <w:rPr>
      <w:rFonts w:hint="eastAsia" w:ascii="Microsoft YaHei UI" w:hAnsi="Microsoft YaHei UI" w:eastAsia="Microsoft YaHei UI"/>
      <w:color w:val="FF0000"/>
      <w:sz w:val="18"/>
      <w:szCs w:val="18"/>
    </w:rPr>
  </w:style>
  <w:style w:type="paragraph" w:customStyle="1" w:styleId="123">
    <w:name w:val="Revision"/>
    <w:hidden/>
    <w:unhideWhenUsed/>
    <w:uiPriority w:val="99"/>
    <w:pPr>
      <w:spacing w:after="0" w:line="240" w:lineRule="auto"/>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613701-5AD4-4A48-981C-0AA1BFF1CE42}">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15</Pages>
  <Words>4875</Words>
  <Characters>4973</Characters>
  <Lines>236</Lines>
  <Paragraphs>240</Paragraphs>
  <TotalTime>0</TotalTime>
  <ScaleCrop>false</ScaleCrop>
  <LinksUpToDate>false</LinksUpToDate>
  <CharactersWithSpaces>9608</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2023-05-23T09:07:00Z</dcterms:created>
  <dc:creator>dreamsummit</dc:creator>
  <cp:lastModifiedBy>董桂珍</cp:lastModifiedBy>
  <cp:lastPrinted>2018-10-16T04:01:00Z</cp:lastPrinted>
  <dcterms:modified xsi:type="dcterms:W3CDTF">2025-05-06T02:06:52Z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CBEDCDF05C8C4A35900F54BCEE1B862D_13</vt:lpwstr>
  </property>
  <property fmtid="{D5CDD505-2E9C-101B-9397-08002B2CF9AE}" pid="4" name="KSOTemplateDocerSaveRecord">
    <vt:lpwstr>eyJoZGlkIjoiMjJiMTgyMDJmNGQ3NTczZmRlNTEyMTU4OGJhOWM3MzUifQ==</vt:lpwstr>
  </property>
</Properties>
</file>